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pPr>
      <w:hyperlink w:anchor="i27c953b2e3004595bc062f37867a09bd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UNITED STATES</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SECURITIES AND EXCHANGE COMMISSION</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Washington, D.C. 20549</w:t>
      </w:r>
    </w:p>
    <w:p>
      <w:pPr>
        <w:pStyle w:val="TextBody"/>
        <w:bidi w:val="0"/>
        <w:spacing w:lineRule="auto" w:line="288" w:before="180" w:after="283"/>
        <w:jc w:val="center"/>
        <w:rPr>
          <w:rFonts w:ascii="Times New Roman;serif" w:hAnsi="Times New Roman;serif"/>
          <w:b/>
          <w:color w:val="000000"/>
          <w:sz w:val="34"/>
        </w:rPr>
      </w:pPr>
      <w:r>
        <w:rPr>
          <w:rFonts w:ascii="Times New Roman;serif" w:hAnsi="Times New Roman;serif"/>
          <w:b/>
          <w:color w:val="000000"/>
          <w:sz w:val="34"/>
        </w:rPr>
        <w:t>FORM 10-K</w:t>
      </w:r>
    </w:p>
    <w:p>
      <w:pPr>
        <w:pStyle w:val="TextBody"/>
        <w:bidi w:val="0"/>
        <w:spacing w:lineRule="auto" w:line="288" w:before="0" w:after="60"/>
        <w:jc w:val="left"/>
        <w:rPr>
          <w:rFonts w:ascii="Times New Roman;serif" w:hAnsi="Times New Roman;serif"/>
          <w:b w:val="false"/>
          <w:color w:val="000000"/>
          <w:sz w:val="18"/>
        </w:rPr>
      </w:pPr>
      <w:r>
        <w:rPr>
          <w:rFonts w:ascii="Times New Roman;serif" w:hAnsi="Times New Roman;serif"/>
          <w:b w:val="false"/>
          <w:color w:val="000000"/>
          <w:sz w:val="18"/>
        </w:rPr>
        <w:t>(Mark One)</w:t>
      </w:r>
    </w:p>
    <w:tbl>
      <w:tblPr>
        <w:tblW w:w="9387" w:type="dxa"/>
        <w:jc w:val="left"/>
        <w:tblInd w:w="0" w:type="dxa"/>
        <w:tblLayout w:type="fixed"/>
        <w:tblCellMar>
          <w:top w:w="28" w:type="dxa"/>
          <w:left w:w="28" w:type="dxa"/>
          <w:bottom w:w="28" w:type="dxa"/>
          <w:right w:w="28" w:type="dxa"/>
        </w:tblCellMar>
      </w:tblPr>
      <w:tblGrid>
        <w:gridCol w:w="124"/>
        <w:gridCol w:w="109"/>
        <w:gridCol w:w="109"/>
        <w:gridCol w:w="2644"/>
        <w:gridCol w:w="2644"/>
        <w:gridCol w:w="375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4" w:type="dxa"/>
            <w:tcBorders/>
            <w:vAlign w:val="center"/>
          </w:tcPr>
          <w:p>
            <w:pPr>
              <w:pStyle w:val="TableContents"/>
              <w:bidi w:val="0"/>
              <w:spacing w:before="0" w:after="283"/>
              <w:jc w:val="left"/>
              <w:rPr>
                <w:sz w:val="4"/>
                <w:szCs w:val="4"/>
              </w:rPr>
            </w:pPr>
            <w:r>
              <w:rPr>
                <w:sz w:val="4"/>
                <w:szCs w:val="4"/>
              </w:rPr>
            </w:r>
          </w:p>
        </w:tc>
        <w:tc>
          <w:tcPr>
            <w:tcW w:w="2644" w:type="dxa"/>
            <w:tcBorders/>
            <w:vAlign w:val="center"/>
          </w:tcPr>
          <w:p>
            <w:pPr>
              <w:pStyle w:val="TableContents"/>
              <w:bidi w:val="0"/>
              <w:spacing w:before="0" w:after="283"/>
              <w:jc w:val="left"/>
              <w:rPr>
                <w:sz w:val="4"/>
                <w:szCs w:val="4"/>
              </w:rPr>
            </w:pPr>
            <w:r>
              <w:rPr>
                <w:sz w:val="4"/>
                <w:szCs w:val="4"/>
              </w:rPr>
            </w:r>
          </w:p>
        </w:tc>
        <w:tc>
          <w:tcPr>
            <w:tcW w:w="37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ANNUAL REPORT PURSUANT TO SECTION 13 OR 15(d) OF THE SECURITIES EXCHANGE ACT OF 1934</w:t>
            </w:r>
          </w:p>
        </w:tc>
      </w:tr>
    </w:tbl>
    <w:p>
      <w:pPr>
        <w:pStyle w:val="TextBody"/>
        <w:bidi w:val="0"/>
        <w:spacing w:lineRule="auto" w:line="288" w:before="20" w:after="283"/>
        <w:jc w:val="center"/>
        <w:rPr>
          <w:rFonts w:ascii="Times New Roman;serif" w:hAnsi="Times New Roman;serif"/>
          <w:b/>
          <w:color w:val="000000"/>
          <w:sz w:val="18"/>
        </w:rPr>
      </w:pPr>
      <w:r>
        <w:rPr>
          <w:rFonts w:ascii="Times New Roman;serif" w:hAnsi="Times New Roman;serif"/>
          <w:b/>
          <w:color w:val="000000"/>
          <w:sz w:val="18"/>
        </w:rPr>
        <w:t>For the fiscal year ended December 31, 2025</w:t>
      </w:r>
    </w:p>
    <w:p>
      <w:pPr>
        <w:pStyle w:val="TextBody"/>
        <w:bidi w:val="0"/>
        <w:spacing w:lineRule="auto" w:line="288" w:before="60" w:after="20"/>
        <w:jc w:val="center"/>
        <w:rPr>
          <w:rFonts w:ascii="Times New Roman;serif" w:hAnsi="Times New Roman;serif"/>
          <w:b/>
          <w:color w:val="000000"/>
          <w:sz w:val="18"/>
        </w:rPr>
      </w:pPr>
      <w:r>
        <w:rPr>
          <w:rFonts w:ascii="Times New Roman;serif" w:hAnsi="Times New Roman;serif"/>
          <w:b/>
          <w:color w:val="000000"/>
          <w:sz w:val="18"/>
        </w:rPr>
        <w:t>or</w:t>
      </w:r>
    </w:p>
    <w:tbl>
      <w:tblPr>
        <w:tblW w:w="9761" w:type="dxa"/>
        <w:jc w:val="left"/>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TRANSITION REPORT PURSUANT TO SECTION 13 OR 15(d) OF THE SECURITIES EXCHANGE ACT OF 1934</w:t>
            </w:r>
          </w:p>
        </w:tc>
      </w:tr>
    </w:tbl>
    <w:p>
      <w:pPr>
        <w:pStyle w:val="TextBody"/>
        <w:bidi w:val="0"/>
        <w:spacing w:lineRule="auto" w:line="288" w:before="20" w:after="283"/>
        <w:jc w:val="center"/>
        <w:rPr>
          <w:rFonts w:ascii="Times New Roman;serif" w:hAnsi="Times New Roman;serif"/>
          <w:b/>
          <w:color w:val="000000"/>
          <w:sz w:val="18"/>
        </w:rPr>
      </w:pPr>
      <w:r>
        <w:rPr>
          <w:rFonts w:ascii="Times New Roman;serif" w:hAnsi="Times New Roman;serif"/>
          <w:b/>
          <w:color w:val="000000"/>
          <w:sz w:val="18"/>
        </w:rPr>
        <w:t>Commission file number   001-39729</w:t>
      </w:r>
    </w:p>
    <w:p>
      <w:pPr>
        <w:pStyle w:val="TextBody"/>
        <w:bidi w:val="0"/>
        <w:spacing w:before="120" w:after="283"/>
        <w:jc w:val="center"/>
        <w:rPr/>
      </w:pPr>
      <w:r>
        <w:rPr/>
        <w:drawing>
          <wp:inline distT="0" distB="0" distL="0" distR="0">
            <wp:extent cx="1447800" cy="4762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447800" cy="476250"/>
                    </a:xfrm>
                    <a:prstGeom prst="rect">
                      <a:avLst/>
                    </a:prstGeom>
                  </pic:spPr>
                </pic:pic>
              </a:graphicData>
            </a:graphic>
          </wp:inline>
        </w:drawing>
      </w:r>
      <w:bookmarkStart w:id="0" w:name="i-1"/>
      <w:bookmarkEnd w:id="0"/>
    </w:p>
    <w:p>
      <w:pPr>
        <w:pStyle w:val="TextBody"/>
        <w:bidi w:val="0"/>
        <w:spacing w:lineRule="auto" w:line="288" w:before="120" w:after="283"/>
        <w:jc w:val="center"/>
        <w:rPr>
          <w:rFonts w:ascii="Times New Roman;serif" w:hAnsi="Times New Roman;serif"/>
          <w:b/>
          <w:color w:val="000000"/>
          <w:sz w:val="34"/>
        </w:rPr>
      </w:pPr>
      <w:r>
        <w:rPr>
          <w:rFonts w:ascii="Times New Roman;serif" w:hAnsi="Times New Roman;serif"/>
          <w:b/>
          <w:color w:val="000000"/>
          <w:sz w:val="34"/>
        </w:rPr>
        <w:t>SOTERA HEALTH COMPANY</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(Exact name of registrant as specified in its charter)</w:t>
      </w:r>
    </w:p>
    <w:tbl>
      <w:tblPr>
        <w:tblW w:w="8577" w:type="dxa"/>
        <w:jc w:val="left"/>
        <w:tblInd w:w="0" w:type="dxa"/>
        <w:tblLayout w:type="fixed"/>
        <w:tblCellMar>
          <w:top w:w="28" w:type="dxa"/>
          <w:left w:w="28" w:type="dxa"/>
          <w:bottom w:w="28" w:type="dxa"/>
          <w:right w:w="28" w:type="dxa"/>
        </w:tblCellMar>
      </w:tblPr>
      <w:tblGrid>
        <w:gridCol w:w="535"/>
        <w:gridCol w:w="470"/>
        <w:gridCol w:w="470"/>
        <w:gridCol w:w="470"/>
        <w:gridCol w:w="470"/>
        <w:gridCol w:w="470"/>
        <w:gridCol w:w="787"/>
        <w:gridCol w:w="787"/>
        <w:gridCol w:w="827"/>
        <w:gridCol w:w="479"/>
        <w:gridCol w:w="479"/>
        <w:gridCol w:w="479"/>
        <w:gridCol w:w="286"/>
        <w:gridCol w:w="286"/>
        <w:gridCol w:w="286"/>
        <w:gridCol w:w="286"/>
        <w:gridCol w:w="286"/>
        <w:gridCol w:w="424"/>
      </w:tblGrid>
      <w:tr>
        <w:trPr/>
        <w:tc>
          <w:tcPr>
            <w:tcW w:w="535"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r>
      <w:tr>
        <w:trPr/>
        <w:tc>
          <w:tcPr>
            <w:tcW w:w="52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Delaware</w:t>
            </w:r>
          </w:p>
        </w:tc>
        <w:tc>
          <w:tcPr>
            <w:tcW w:w="32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47-3531161</w:t>
            </w:r>
          </w:p>
        </w:tc>
      </w:tr>
      <w:tr>
        <w:trPr/>
        <w:tc>
          <w:tcPr>
            <w:tcW w:w="52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(State or other jurisdiction of incorporation or organization)</w:t>
            </w:r>
          </w:p>
        </w:tc>
        <w:tc>
          <w:tcPr>
            <w:tcW w:w="32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(I.R.S. Employer Identification No.)</w:t>
            </w:r>
          </w:p>
        </w:tc>
      </w:tr>
      <w:tr>
        <w:trPr/>
        <w:tc>
          <w:tcPr>
            <w:tcW w:w="1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6"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9100 South Hills Blvd, Suite 300</w:t>
            </w:r>
          </w:p>
        </w:tc>
        <w:tc>
          <w:tcPr>
            <w:tcW w:w="14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6"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Broadview Heights, Ohio</w:t>
            </w:r>
          </w:p>
        </w:tc>
        <w:tc>
          <w:tcPr>
            <w:tcW w:w="32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44147</w:t>
            </w:r>
          </w:p>
        </w:tc>
      </w:tr>
      <w:tr>
        <w:trPr/>
        <w:tc>
          <w:tcPr>
            <w:tcW w:w="52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(Address of principal executive offices)</w:t>
            </w:r>
          </w:p>
        </w:tc>
        <w:tc>
          <w:tcPr>
            <w:tcW w:w="32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(Zip Code)</w:t>
            </w:r>
          </w:p>
        </w:tc>
      </w:tr>
      <w:tr>
        <w:trPr/>
        <w:tc>
          <w:tcPr>
            <w:tcW w:w="1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8"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(440) 262-1410</w:t>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(Registrant’s telephone number, including area code)</w:t>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140"/>
        <w:jc w:val="left"/>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Act:</w:t>
      </w:r>
    </w:p>
    <w:tbl>
      <w:tblPr>
        <w:tblW w:w="8382" w:type="dxa"/>
        <w:jc w:val="left"/>
        <w:tblInd w:w="0" w:type="dxa"/>
        <w:tblLayout w:type="fixed"/>
        <w:tblCellMar>
          <w:top w:w="28" w:type="dxa"/>
          <w:left w:w="28" w:type="dxa"/>
          <w:bottom w:w="28" w:type="dxa"/>
          <w:right w:w="28" w:type="dxa"/>
        </w:tblCellMar>
      </w:tblPr>
      <w:tblGrid>
        <w:gridCol w:w="1209"/>
        <w:gridCol w:w="1064"/>
        <w:gridCol w:w="1071"/>
        <w:gridCol w:w="519"/>
        <w:gridCol w:w="519"/>
        <w:gridCol w:w="521"/>
        <w:gridCol w:w="1019"/>
        <w:gridCol w:w="1019"/>
        <w:gridCol w:w="1441"/>
      </w:tblGrid>
      <w:tr>
        <w:trPr/>
        <w:tc>
          <w:tcPr>
            <w:tcW w:w="1209"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Title of each class</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Trading Symbol(s)</w:t>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Name of each exchange on which registered</w:t>
            </w:r>
          </w:p>
        </w:tc>
      </w:tr>
      <w:tr>
        <w:trPr/>
        <w:tc>
          <w:tcPr>
            <w:tcW w:w="33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 Stock, $0.01 par value per share</w:t>
            </w:r>
          </w:p>
        </w:tc>
        <w:tc>
          <w:tcPr>
            <w:tcW w:w="15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SHC</w:t>
            </w:r>
          </w:p>
        </w:tc>
        <w:tc>
          <w:tcPr>
            <w:tcW w:w="34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The Nasdaq Stock Market LLC</w:t>
            </w:r>
          </w:p>
        </w:tc>
      </w:tr>
    </w:tbl>
    <w:p>
      <w:pPr>
        <w:pStyle w:val="TextBody"/>
        <w:bidi w:val="0"/>
        <w:spacing w:lineRule="auto" w:line="288" w:before="60" w:after="283"/>
        <w:jc w:val="left"/>
        <w:rPr>
          <w:rFonts w:ascii="Times New Roman;serif" w:hAnsi="Times New Roman;serif"/>
          <w:b w:val="false"/>
          <w:color w:val="000000"/>
          <w:sz w:val="16"/>
        </w:rPr>
      </w:pPr>
      <w:r>
        <w:rPr>
          <w:rFonts w:ascii="Times New Roman;serif" w:hAnsi="Times New Roman;serif"/>
          <w:b w:val="false"/>
          <w:color w:val="000000"/>
          <w:sz w:val="16"/>
        </w:rPr>
        <w:t>Securities registered pursuant to Section 12(g) of the Act: None</w:t>
      </w:r>
    </w:p>
    <w:p>
      <w:pPr>
        <w:pStyle w:val="TextBody"/>
        <w:bidi w:val="0"/>
        <w:spacing w:lineRule="auto" w:line="288" w:before="30" w:after="283"/>
        <w:jc w:val="left"/>
        <w:rPr/>
      </w:pPr>
      <w:r>
        <w:rPr>
          <w:rFonts w:ascii="Times New Roman;serif" w:hAnsi="Times New Roman;serif"/>
          <w:b w:val="false"/>
          <w:color w:val="000000"/>
          <w:sz w:val="16"/>
        </w:rPr>
        <w:t>Indicate by check mark if the registrant is a well-known seasoned issuer, as defined in Rule 405 of the Securities Act.  </w:t>
      </w:r>
      <w:r>
        <w:rPr>
          <w:color w:val="000000"/>
        </w:rPr>
        <w:t>☒ </w:t>
      </w:r>
      <w:r>
        <w:rPr>
          <w:rFonts w:ascii="Times New Roman;serif" w:hAnsi="Times New Roman;serif"/>
          <w:b w:val="false"/>
          <w:color w:val="000000"/>
          <w:sz w:val="16"/>
        </w:rPr>
        <w:t>Yes  </w:t>
      </w:r>
      <w:r>
        <w:rPr>
          <w:color w:val="000000"/>
        </w:rPr>
        <w:t xml:space="preserve">☐ </w:t>
      </w:r>
      <w:r>
        <w:rPr>
          <w:rFonts w:ascii="Times New Roman;serif" w:hAnsi="Times New Roman;serif"/>
          <w:b w:val="false"/>
          <w:color w:val="000000"/>
          <w:sz w:val="16"/>
        </w:rPr>
        <w:t>No</w:t>
      </w:r>
    </w:p>
    <w:p>
      <w:pPr>
        <w:pStyle w:val="TextBody"/>
        <w:bidi w:val="0"/>
        <w:spacing w:lineRule="auto" w:line="288" w:before="30" w:after="283"/>
        <w:jc w:val="left"/>
        <w:rPr/>
      </w:pPr>
      <w:r>
        <w:rPr>
          <w:rFonts w:ascii="Times New Roman;serif" w:hAnsi="Times New Roman;serif"/>
          <w:b w:val="false"/>
          <w:color w:val="000000"/>
          <w:sz w:val="16"/>
        </w:rPr>
        <w:t>Indicate by check mark if the registrant is not required to file reports pursuant to Section 13 or Section 15(d) of the Act.  </w:t>
      </w:r>
      <w:r>
        <w:rPr>
          <w:color w:val="000000"/>
        </w:rPr>
        <w:t>☐  </w:t>
      </w:r>
      <w:r>
        <w:rPr>
          <w:rFonts w:ascii="Times New Roman;serif" w:hAnsi="Times New Roman;serif"/>
          <w:b w:val="false"/>
          <w:color w:val="000000"/>
          <w:sz w:val="16"/>
        </w:rPr>
        <w:t>Yes   ☒ No</w:t>
      </w:r>
    </w:p>
    <w:p>
      <w:pPr>
        <w:pStyle w:val="TextBody"/>
        <w:bidi w:val="0"/>
        <w:spacing w:lineRule="auto" w:line="288" w:before="30" w:after="283"/>
        <w:jc w:val="left"/>
        <w:rPr/>
      </w:pPr>
      <w:r>
        <w:rPr>
          <w:rFonts w:ascii="Times New Roman;serif" w:hAnsi="Times New Roman;serif"/>
          <w:b w:val="false"/>
          <w:color w:val="000000"/>
          <w:sz w:val="16"/>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 Yes   </w:t>
      </w:r>
      <w:r>
        <w:rPr>
          <w:color w:val="000000"/>
        </w:rPr>
        <w:t xml:space="preserve">☐ </w:t>
      </w:r>
      <w:r>
        <w:rPr>
          <w:rFonts w:ascii="Times New Roman;serif" w:hAnsi="Times New Roman;serif"/>
          <w:b w:val="false"/>
          <w:color w:val="000000"/>
          <w:sz w:val="16"/>
        </w:rPr>
        <w:t>No</w:t>
      </w:r>
    </w:p>
    <w:p>
      <w:pPr>
        <w:pStyle w:val="TextBody"/>
        <w:bidi w:val="0"/>
        <w:spacing w:lineRule="auto" w:line="288" w:before="30" w:after="283"/>
        <w:jc w:val="left"/>
        <w:rPr/>
      </w:pPr>
      <w:r>
        <w:rPr>
          <w:rFonts w:ascii="Times New Roman;serif" w:hAnsi="Times New Roman;serif"/>
          <w:b w:val="false"/>
          <w:color w:val="000000"/>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color w:val="000000"/>
        </w:rPr>
        <w:t>☒ </w:t>
      </w:r>
      <w:r>
        <w:rPr>
          <w:rFonts w:ascii="Times New Roman;serif" w:hAnsi="Times New Roman;serif"/>
          <w:b w:val="false"/>
          <w:color w:val="000000"/>
          <w:sz w:val="16"/>
        </w:rPr>
        <w:t xml:space="preserve">Yes   </w:t>
      </w:r>
      <w:r>
        <w:rPr>
          <w:color w:val="000000"/>
        </w:rPr>
        <w:t xml:space="preserve">☐ </w:t>
      </w:r>
      <w:r>
        <w:rPr>
          <w:rFonts w:ascii="Times New Roman;serif" w:hAnsi="Times New Roman;serif"/>
          <w:b w:val="false"/>
          <w:color w:val="000000"/>
          <w:sz w:val="16"/>
        </w:rPr>
        <w:t>No</w:t>
      </w:r>
    </w:p>
    <w:p>
      <w:pPr>
        <w:pStyle w:val="TextBody"/>
        <w:bidi w:val="0"/>
        <w:spacing w:lineRule="auto" w:line="288" w:before="30" w:after="283"/>
        <w:jc w:val="left"/>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389"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674"/>
        <w:gridCol w:w="674"/>
        <w:gridCol w:w="677"/>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lineRule="auto" w:line="288" w:before="30" w:after="283"/>
        <w:jc w:val="left"/>
        <w:rPr>
          <w:rFonts w:ascii="Times New Roman;serif" w:hAnsi="Times New Roman;serif"/>
          <w:b w:val="false"/>
          <w:color w:val="000000"/>
          <w:sz w:val="16"/>
        </w:rPr>
      </w:pPr>
      <w:r>
        <w:rPr>
          <w:rFonts w:ascii="Times New Roman;serif" w:hAnsi="Times New Roman;serif"/>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30" w:after="283"/>
        <w:jc w:val="left"/>
        <w:rPr/>
      </w:pPr>
      <w:r>
        <w:rPr>
          <w:rFonts w:ascii="Times New Roman;serif" w:hAnsi="Times New Roman;serif"/>
          <w:b w:val="false"/>
          <w:color w:val="000000"/>
          <w:sz w:val="16"/>
        </w:rPr>
        <w:t xml:space="preserve">Indicate by check mark whether the registrant has filed a report on and attestation to its management’s assessment of the effectiveness of its internal control over financial reporting under Section 404(b) of the Sarbanes-Oxley Act (15 U.S.C.7262(b)) by the registered public accounting firm that prepared or issued its audit report. </w:t>
      </w:r>
      <w:r>
        <w:rPr>
          <w:color w:val="000000"/>
        </w:rPr>
        <w:t xml:space="preserve">☒ </w:t>
      </w:r>
    </w:p>
    <w:p>
      <w:pPr>
        <w:pStyle w:val="TextBody"/>
        <w:bidi w:val="0"/>
        <w:spacing w:lineRule="auto" w:line="288" w:before="30" w:after="283"/>
        <w:jc w:val="left"/>
        <w:rPr/>
      </w:pPr>
      <w:r>
        <w:rPr>
          <w:rFonts w:ascii="Times New Roman;serif" w:hAnsi="Times New Roman;serif"/>
          <w:b w:val="false"/>
          <w:color w:val="000000"/>
          <w:sz w:val="16"/>
        </w:rPr>
        <w:t>If securities are registered pursuant to Section 12(b) of the Act, indicate by check mark whether the financial statements of the registrant included in the filing reflect the correction of an error to previously issued financial statements</w:t>
      </w:r>
      <w:r>
        <w:rPr>
          <w:rFonts w:ascii="Arial;sans-serif" w:hAnsi="Arial;sans-serif"/>
          <w:b w:val="false"/>
          <w:color w:val="000000"/>
          <w:sz w:val="16"/>
        </w:rPr>
        <w:t xml:space="preserve">. </w:t>
      </w:r>
      <w:r>
        <w:rPr>
          <w:color w:val="000000"/>
        </w:rPr>
        <w:t>☐</w:t>
      </w:r>
    </w:p>
    <w:p>
      <w:pPr>
        <w:pStyle w:val="TextBody"/>
        <w:bidi w:val="0"/>
        <w:spacing w:lineRule="auto" w:line="288" w:before="30" w:after="283"/>
        <w:jc w:val="left"/>
        <w:rPr/>
      </w:pPr>
      <w:r>
        <w:rPr>
          <w:rFonts w:ascii="Times New Roman;serif" w:hAnsi="Times New Roman;serif"/>
          <w:b w:val="false"/>
          <w:color w:val="000000"/>
          <w:sz w:val="16"/>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color w:val="000000"/>
        </w:rPr>
        <w:t xml:space="preserve">☐ </w:t>
      </w:r>
    </w:p>
    <w:p>
      <w:pPr>
        <w:pStyle w:val="TextBody"/>
        <w:bidi w:val="0"/>
        <w:spacing w:lineRule="auto" w:line="288" w:before="30" w:after="283"/>
        <w:jc w:val="left"/>
        <w:rPr/>
      </w:pPr>
      <w:r>
        <w:rPr>
          <w:rFonts w:ascii="Times New Roman;serif" w:hAnsi="Times New Roman;serif"/>
          <w:b w:val="false"/>
          <w:color w:val="000000"/>
          <w:sz w:val="16"/>
        </w:rPr>
        <w:t>Indicate by check mark whether the registrant is a shell company (as defined in Rule 12b-2 of the Act).  </w:t>
      </w:r>
      <w:r>
        <w:rPr>
          <w:color w:val="000000"/>
        </w:rPr>
        <w:t>☐ </w:t>
      </w:r>
      <w:r>
        <w:rPr>
          <w:rFonts w:ascii="Times New Roman;serif" w:hAnsi="Times New Roman;serif"/>
          <w:b w:val="false"/>
          <w:color w:val="000000"/>
          <w:sz w:val="16"/>
        </w:rPr>
        <w:t xml:space="preserve">Yes   </w:t>
      </w:r>
      <w:r>
        <w:rPr>
          <w:color w:val="000000"/>
        </w:rPr>
        <w:t>☒ </w:t>
      </w:r>
      <w:r>
        <w:rPr>
          <w:rFonts w:ascii="Times New Roman;serif" w:hAnsi="Times New Roman;serif"/>
          <w:b w:val="false"/>
          <w:color w:val="000000"/>
          <w:sz w:val="16"/>
        </w:rPr>
        <w:t>No</w:t>
      </w:r>
    </w:p>
    <w:p>
      <w:pPr>
        <w:pStyle w:val="TextBody"/>
        <w:bidi w:val="0"/>
        <w:spacing w:lineRule="auto" w:line="288" w:before="30" w:after="283"/>
        <w:jc w:val="left"/>
        <w:rPr>
          <w:rFonts w:ascii="Times New Roman;serif" w:hAnsi="Times New Roman;serif"/>
          <w:b w:val="false"/>
          <w:color w:val="000000"/>
          <w:sz w:val="16"/>
        </w:rPr>
      </w:pPr>
      <w:r>
        <w:rPr>
          <w:rFonts w:ascii="Times New Roman;serif" w:hAnsi="Times New Roman;serif"/>
          <w:b w:val="false"/>
          <w:color w:val="000000"/>
          <w:sz w:val="16"/>
        </w:rPr>
        <w:t>The aggregate market value of the voting and non-voting common stock held by non-affiliates of the registrant as of June 30, 2025, based upon the last sale price of such voting and non-voting common stock on that date, was $1,714,111,104.</w:t>
      </w:r>
    </w:p>
    <w:p>
      <w:pPr>
        <w:pStyle w:val="TextBody"/>
        <w:bidi w:val="0"/>
        <w:spacing w:lineRule="auto" w:line="288" w:before="30" w:after="283"/>
        <w:jc w:val="left"/>
        <w:rPr>
          <w:rFonts w:ascii="Times New Roman;serif" w:hAnsi="Times New Roman;serif"/>
          <w:b w:val="false"/>
          <w:color w:val="000000"/>
          <w:sz w:val="16"/>
        </w:rPr>
      </w:pPr>
      <w:r>
        <w:rPr>
          <w:rFonts w:ascii="Times New Roman;serif" w:hAnsi="Times New Roman;serif"/>
          <w:b w:val="false"/>
          <w:color w:val="000000"/>
          <w:sz w:val="16"/>
        </w:rPr>
        <w:t>As of February 17, 2026, there were 284,392,079 shares of the registrant’s common stock, $0.01 par value per share, outstanding.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27c953b2e3004595bc062f37867a09bd_7">
        <w:r>
          <w:rPr>
            <w:rStyle w:val="InternetLink"/>
            <w:rFonts w:ascii="Times New Roman;serif" w:hAnsi="Times New Roman;serif"/>
            <w:b w:val="false"/>
            <w:color w:val="0000FF"/>
            <w:sz w:val="16"/>
            <w:u w:val="single"/>
          </w:rPr>
          <w:t>Table of Contents</w:t>
        </w:r>
      </w:hyperlink>
    </w:p>
    <w:p>
      <w:pPr>
        <w:pStyle w:val="TextBody"/>
        <w:bidi w:val="0"/>
        <w:spacing w:lineRule="auto" w:line="288" w:before="240" w:after="283"/>
        <w:jc w:val="center"/>
        <w:rPr>
          <w:rFonts w:ascii="Times New Roman;serif" w:hAnsi="Times New Roman;serif"/>
          <w:b/>
          <w:color w:val="000000"/>
          <w:sz w:val="18"/>
          <w:u w:val="single"/>
        </w:rPr>
      </w:pPr>
      <w:r>
        <w:rPr>
          <w:rFonts w:ascii="Times New Roman;serif" w:hAnsi="Times New Roman;serif"/>
          <w:b/>
          <w:color w:val="000000"/>
          <w:sz w:val="18"/>
          <w:u w:val="single"/>
        </w:rPr>
        <w:t>DOCUMENTS INCORPORATED BY REFERENCE</w:t>
      </w:r>
    </w:p>
    <w:p>
      <w:pPr>
        <w:pStyle w:val="TextBody"/>
        <w:bidi w:val="0"/>
        <w:spacing w:lineRule="auto" w:line="288" w:before="120" w:after="283"/>
        <w:jc w:val="left"/>
        <w:rPr>
          <w:rFonts w:ascii="Times New Roman;serif" w:hAnsi="Times New Roman;serif"/>
          <w:b w:val="false"/>
          <w:color w:val="000000"/>
          <w:sz w:val="17"/>
        </w:rPr>
      </w:pPr>
      <w:r>
        <w:rPr>
          <w:rFonts w:ascii="Times New Roman;serif" w:hAnsi="Times New Roman;serif"/>
          <w:b w:val="false"/>
          <w:color w:val="000000"/>
          <w:sz w:val="17"/>
        </w:rPr>
        <w:t>Portions of the Definitive Proxy Statement for the registrant’s 2026 Annual Meeting of Stockholders are incorporated by reference in Part III of this Annual Report on Form 10-K. Sotera Health Company intends to file the Definitive Proxy Statement with the Securities and Exchange Commission within 120 days after the end of the registrant’s fiscal year ended December 31, 2025.</w:t>
      </w:r>
    </w:p>
    <w:tbl>
      <w:tblPr>
        <w:tblW w:w="7409" w:type="dxa"/>
        <w:jc w:val="left"/>
        <w:tblInd w:w="0" w:type="dxa"/>
        <w:tblLayout w:type="fixed"/>
        <w:tblCellMar>
          <w:top w:w="28" w:type="dxa"/>
          <w:left w:w="28" w:type="dxa"/>
          <w:bottom w:w="28" w:type="dxa"/>
          <w:right w:w="28" w:type="dxa"/>
        </w:tblCellMar>
      </w:tblPr>
      <w:tblGrid>
        <w:gridCol w:w="753"/>
        <w:gridCol w:w="663"/>
        <w:gridCol w:w="668"/>
        <w:gridCol w:w="904"/>
        <w:gridCol w:w="904"/>
        <w:gridCol w:w="907"/>
        <w:gridCol w:w="763"/>
        <w:gridCol w:w="763"/>
        <w:gridCol w:w="1084"/>
      </w:tblGrid>
      <w:tr>
        <w:trPr/>
        <w:tc>
          <w:tcPr>
            <w:tcW w:w="75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Audit Firm PCAOB ID: 42</w:t>
            </w:r>
          </w:p>
        </w:tc>
        <w:tc>
          <w:tcPr>
            <w:tcW w:w="271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 xml:space="preserve">Auditor Name: Ernst &amp; Young LLP </w:t>
            </w:r>
          </w:p>
        </w:tc>
        <w:tc>
          <w:tcPr>
            <w:tcW w:w="2610"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Auditor Location: Cleveland, Ohio</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27c953b2e3004595bc062f37867a09b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SOTERA HEALTH COMPANY</w:t>
      </w:r>
    </w:p>
    <w:p>
      <w:pPr>
        <w:pStyle w:val="TextBody"/>
        <w:bidi w:val="0"/>
        <w:spacing w:lineRule="auto" w:line="288" w:before="0" w:after="140"/>
        <w:jc w:val="center"/>
        <w:rPr>
          <w:rFonts w:ascii="Times New Roman;serif" w:hAnsi="Times New Roman;serif"/>
          <w:b/>
          <w:color w:val="000000"/>
          <w:sz w:val="20"/>
        </w:rPr>
      </w:pPr>
      <w:r>
        <w:rPr>
          <w:rFonts w:ascii="Times New Roman;serif" w:hAnsi="Times New Roman;serif"/>
          <w:b/>
          <w:color w:val="000000"/>
          <w:sz w:val="20"/>
        </w:rPr>
        <w:t>- TABLE OF CONTENTS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51"/>
        <w:gridCol w:w="251"/>
        <w:gridCol w:w="253"/>
        <w:gridCol w:w="2790"/>
        <w:gridCol w:w="2725"/>
        <w:gridCol w:w="2728"/>
        <w:gridCol w:w="252"/>
        <w:gridCol w:w="252"/>
        <w:gridCol w:w="36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2725" w:type="dxa"/>
            <w:tcBorders/>
            <w:vAlign w:val="center"/>
          </w:tcPr>
          <w:p>
            <w:pPr>
              <w:pStyle w:val="TableContents"/>
              <w:bidi w:val="0"/>
              <w:spacing w:before="0" w:after="283"/>
              <w:jc w:val="left"/>
              <w:rPr>
                <w:sz w:val="4"/>
                <w:szCs w:val="4"/>
              </w:rPr>
            </w:pPr>
            <w:r>
              <w:rPr>
                <w:sz w:val="4"/>
                <w:szCs w:val="4"/>
              </w:rPr>
            </w:r>
          </w:p>
        </w:tc>
        <w:tc>
          <w:tcPr>
            <w:tcW w:w="2728"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9340"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Page No.</w:t>
            </w:r>
          </w:p>
        </w:tc>
      </w:tr>
      <w:tr>
        <w:trPr/>
        <w:tc>
          <w:tcPr>
            <w:tcW w:w="9340" w:type="dxa"/>
            <w:gridSpan w:val="9"/>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27c953b2e3004595bc062f37867a09bd_13">
              <w:r>
                <w:rPr>
                  <w:rStyle w:val="InternetLink"/>
                  <w:rFonts w:ascii="Times New Roman;serif" w:hAnsi="Times New Roman;serif"/>
                  <w:b/>
                  <w:strike w:val="false"/>
                  <w:dstrike w:val="false"/>
                  <w:color w:val="000000"/>
                  <w:sz w:val="20"/>
                  <w:u w:val="none"/>
                  <w:effect w:val="none"/>
                </w:rPr>
                <w:t>PART I</w:t>
              </w:r>
            </w:hyperlink>
          </w:p>
        </w:tc>
        <w:tc>
          <w:tcPr>
            <w:tcW w:w="8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7c953b2e3004595bc062f37867a09bd_16">
              <w:r>
                <w:rPr>
                  <w:rStyle w:val="InternetLink"/>
                  <w:rFonts w:ascii="Times New Roman;serif" w:hAnsi="Times New Roman;serif"/>
                  <w:b w:val="false"/>
                  <w:strike w:val="false"/>
                  <w:dstrike w:val="false"/>
                  <w:color w:val="000000"/>
                  <w:sz w:val="20"/>
                  <w:u w:val="none"/>
                  <w:effect w:val="none"/>
                </w:rPr>
                <w:t>Item 1.</w:t>
              </w:r>
            </w:hyperlink>
          </w:p>
        </w:tc>
        <w:tc>
          <w:tcPr>
            <w:tcW w:w="8243" w:type="dxa"/>
            <w:gridSpan w:val="3"/>
            <w:tcBorders/>
            <w:shd w:fill="FFFFFF" w:val="clear"/>
            <w:tcMar>
              <w:top w:w="0" w:type="dxa"/>
              <w:left w:w="0" w:type="dxa"/>
              <w:bottom w:w="0" w:type="dxa"/>
              <w:right w:w="0" w:type="dxa"/>
            </w:tcMar>
            <w:vAlign w:val="center"/>
          </w:tcPr>
          <w:p>
            <w:pPr>
              <w:pStyle w:val="TableContents"/>
              <w:bidi w:val="0"/>
              <w:spacing w:lineRule="auto" w:line="288" w:before="40" w:after="40"/>
              <w:ind w:left="0" w:right="0" w:hanging="360"/>
              <w:jc w:val="left"/>
              <w:rPr/>
            </w:pPr>
            <w:hyperlink w:anchor="i27c953b2e3004595bc062f37867a09bd_16">
              <w:r>
                <w:rPr>
                  <w:rStyle w:val="InternetLink"/>
                  <w:rFonts w:ascii="Times New Roman;serif" w:hAnsi="Times New Roman;serif"/>
                  <w:b w:val="false"/>
                  <w:color w:val="0000FF"/>
                  <w:sz w:val="20"/>
                  <w:u w:val="single"/>
                </w:rPr>
                <w:t>Business</w:t>
              </w:r>
            </w:hyperlink>
          </w:p>
        </w:tc>
        <w:tc>
          <w:tcPr>
            <w:tcW w:w="8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27c953b2e3004595bc062f37867a09bd_16">
              <w:r>
                <w:rPr>
                  <w:rStyle w:val="InternetLink"/>
                  <w:rFonts w:ascii="Times New Roman;serif" w:hAnsi="Times New Roman;serif"/>
                  <w:b w:val="false"/>
                  <w:color w:val="0000FF"/>
                  <w:sz w:val="20"/>
                  <w:u w:val="single"/>
                </w:rPr>
                <w:t>6</w:t>
              </w:r>
            </w:hyperlink>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27c953b2e3004595bc062f37867a09bd_19">
              <w:r>
                <w:rPr>
                  <w:rStyle w:val="InternetLink"/>
                  <w:rFonts w:ascii="Times New Roman;serif" w:hAnsi="Times New Roman;serif"/>
                  <w:b w:val="false"/>
                  <w:strike w:val="false"/>
                  <w:dstrike w:val="false"/>
                  <w:color w:val="000000"/>
                  <w:sz w:val="20"/>
                  <w:u w:val="none"/>
                  <w:effect w:val="none"/>
                </w:rPr>
                <w:t>Item 1A.</w:t>
              </w:r>
            </w:hyperlink>
          </w:p>
        </w:tc>
        <w:tc>
          <w:tcPr>
            <w:tcW w:w="8243" w:type="dxa"/>
            <w:gridSpan w:val="3"/>
            <w:tcBorders/>
            <w:shd w:fill="CCEEFF" w:val="clear"/>
            <w:tcMar>
              <w:top w:w="0" w:type="dxa"/>
              <w:left w:w="0" w:type="dxa"/>
              <w:bottom w:w="0" w:type="dxa"/>
              <w:right w:w="0" w:type="dxa"/>
            </w:tcMar>
            <w:vAlign w:val="center"/>
          </w:tcPr>
          <w:p>
            <w:pPr>
              <w:pStyle w:val="TableContents"/>
              <w:bidi w:val="0"/>
              <w:spacing w:lineRule="auto" w:line="288" w:before="40" w:after="40"/>
              <w:ind w:left="0" w:right="0" w:hanging="360"/>
              <w:jc w:val="left"/>
              <w:rPr/>
            </w:pPr>
            <w:hyperlink w:anchor="i27c953b2e3004595bc062f37867a09bd_19">
              <w:r>
                <w:rPr>
                  <w:rStyle w:val="InternetLink"/>
                  <w:rFonts w:ascii="Times New Roman;serif" w:hAnsi="Times New Roman;serif"/>
                  <w:b w:val="false"/>
                  <w:color w:val="0000FF"/>
                  <w:sz w:val="20"/>
                  <w:u w:val="single"/>
                </w:rPr>
                <w:t>Risk Factors</w:t>
              </w:r>
            </w:hyperlink>
          </w:p>
        </w:tc>
        <w:tc>
          <w:tcPr>
            <w:tcW w:w="8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27c953b2e3004595bc062f37867a09bd_19">
              <w:r>
                <w:rPr>
                  <w:rStyle w:val="InternetLink"/>
                  <w:rFonts w:ascii="Times New Roman;serif" w:hAnsi="Times New Roman;serif"/>
                  <w:b w:val="false"/>
                  <w:color w:val="0000FF"/>
                  <w:sz w:val="20"/>
                  <w:u w:val="single"/>
                </w:rPr>
                <w:t>14</w:t>
              </w:r>
            </w:hyperlink>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7c953b2e3004595bc062f37867a09bd_22">
              <w:r>
                <w:rPr>
                  <w:rStyle w:val="InternetLink"/>
                  <w:rFonts w:ascii="Times New Roman;serif" w:hAnsi="Times New Roman;serif"/>
                  <w:b w:val="false"/>
                  <w:strike w:val="false"/>
                  <w:dstrike w:val="false"/>
                  <w:color w:val="000000"/>
                  <w:sz w:val="20"/>
                  <w:u w:val="none"/>
                  <w:effect w:val="none"/>
                </w:rPr>
                <w:t>Item 1B.</w:t>
              </w:r>
            </w:hyperlink>
          </w:p>
        </w:tc>
        <w:tc>
          <w:tcPr>
            <w:tcW w:w="8243" w:type="dxa"/>
            <w:gridSpan w:val="3"/>
            <w:tcBorders/>
            <w:shd w:fill="FFFFFF" w:val="clear"/>
            <w:tcMar>
              <w:top w:w="0" w:type="dxa"/>
              <w:left w:w="0" w:type="dxa"/>
              <w:bottom w:w="0" w:type="dxa"/>
              <w:right w:w="0" w:type="dxa"/>
            </w:tcMar>
            <w:vAlign w:val="center"/>
          </w:tcPr>
          <w:p>
            <w:pPr>
              <w:pStyle w:val="TableContents"/>
              <w:bidi w:val="0"/>
              <w:spacing w:lineRule="auto" w:line="288" w:before="40" w:after="40"/>
              <w:ind w:left="0" w:right="0" w:hanging="360"/>
              <w:jc w:val="left"/>
              <w:rPr/>
            </w:pPr>
            <w:hyperlink w:anchor="i27c953b2e3004595bc062f37867a09bd_22">
              <w:r>
                <w:rPr>
                  <w:rStyle w:val="InternetLink"/>
                  <w:rFonts w:ascii="Times New Roman;serif" w:hAnsi="Times New Roman;serif"/>
                  <w:b w:val="false"/>
                  <w:color w:val="0000FF"/>
                  <w:sz w:val="20"/>
                  <w:u w:val="single"/>
                </w:rPr>
                <w:t>Unresolved Staff Comments</w:t>
              </w:r>
            </w:hyperlink>
          </w:p>
        </w:tc>
        <w:tc>
          <w:tcPr>
            <w:tcW w:w="8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27c953b2e3004595bc062f37867a09bd_22">
              <w:r>
                <w:rPr>
                  <w:rStyle w:val="InternetLink"/>
                  <w:rFonts w:ascii="Times New Roman;serif" w:hAnsi="Times New Roman;serif"/>
                  <w:b w:val="false"/>
                  <w:color w:val="0000FF"/>
                  <w:sz w:val="20"/>
                  <w:u w:val="single"/>
                </w:rPr>
                <w:t>40</w:t>
              </w:r>
            </w:hyperlink>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Item 1C.</w:t>
            </w:r>
          </w:p>
        </w:tc>
        <w:tc>
          <w:tcPr>
            <w:tcW w:w="82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27c953b2e3004595bc062f37867a09bd_25">
              <w:r>
                <w:rPr>
                  <w:rStyle w:val="InternetLink"/>
                  <w:rFonts w:ascii="Times New Roman;serif" w:hAnsi="Times New Roman;serif"/>
                  <w:b w:val="false"/>
                  <w:color w:val="0000FF"/>
                  <w:sz w:val="20"/>
                  <w:u w:val="single"/>
                </w:rPr>
                <w:t>Cybersecurity</w:t>
              </w:r>
            </w:hyperlink>
          </w:p>
        </w:tc>
        <w:tc>
          <w:tcPr>
            <w:tcW w:w="8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27c953b2e3004595bc062f37867a09bd_25">
              <w:r>
                <w:rPr>
                  <w:rStyle w:val="InternetLink"/>
                  <w:rFonts w:ascii="Times New Roman;serif" w:hAnsi="Times New Roman;serif"/>
                  <w:b w:val="false"/>
                  <w:color w:val="0000FF"/>
                  <w:sz w:val="20"/>
                  <w:u w:val="single"/>
                </w:rPr>
                <w:t>40</w:t>
              </w:r>
            </w:hyperlink>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7c953b2e3004595bc062f37867a09bd_28">
              <w:r>
                <w:rPr>
                  <w:rStyle w:val="InternetLink"/>
                  <w:rFonts w:ascii="Times New Roman;serif" w:hAnsi="Times New Roman;serif"/>
                  <w:b w:val="false"/>
                  <w:strike w:val="false"/>
                  <w:dstrike w:val="false"/>
                  <w:color w:val="000000"/>
                  <w:sz w:val="20"/>
                  <w:u w:val="none"/>
                  <w:effect w:val="none"/>
                </w:rPr>
                <w:t>Item 2.</w:t>
              </w:r>
            </w:hyperlink>
          </w:p>
        </w:tc>
        <w:tc>
          <w:tcPr>
            <w:tcW w:w="8243" w:type="dxa"/>
            <w:gridSpan w:val="3"/>
            <w:tcBorders/>
            <w:shd w:fill="FFFFFF" w:val="clear"/>
            <w:tcMar>
              <w:top w:w="0" w:type="dxa"/>
              <w:left w:w="0" w:type="dxa"/>
              <w:bottom w:w="0" w:type="dxa"/>
              <w:right w:w="0" w:type="dxa"/>
            </w:tcMar>
            <w:vAlign w:val="center"/>
          </w:tcPr>
          <w:p>
            <w:pPr>
              <w:pStyle w:val="TableContents"/>
              <w:bidi w:val="0"/>
              <w:spacing w:lineRule="auto" w:line="288" w:before="40" w:after="40"/>
              <w:ind w:left="0" w:right="0" w:hanging="360"/>
              <w:jc w:val="left"/>
              <w:rPr/>
            </w:pPr>
            <w:hyperlink w:anchor="i27c953b2e3004595bc062f37867a09bd_28">
              <w:r>
                <w:rPr>
                  <w:rStyle w:val="InternetLink"/>
                  <w:rFonts w:ascii="Times New Roman;serif" w:hAnsi="Times New Roman;serif"/>
                  <w:b w:val="false"/>
                  <w:color w:val="0000FF"/>
                  <w:sz w:val="20"/>
                  <w:u w:val="single"/>
                </w:rPr>
                <w:t>Properties</w:t>
              </w:r>
            </w:hyperlink>
          </w:p>
        </w:tc>
        <w:tc>
          <w:tcPr>
            <w:tcW w:w="8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27c953b2e3004595bc062f37867a09bd_28">
              <w:r>
                <w:rPr>
                  <w:rStyle w:val="InternetLink"/>
                  <w:rFonts w:ascii="Times New Roman;serif" w:hAnsi="Times New Roman;serif"/>
                  <w:b w:val="false"/>
                  <w:color w:val="0000FF"/>
                  <w:sz w:val="20"/>
                  <w:u w:val="single"/>
                </w:rPr>
                <w:t>42</w:t>
              </w:r>
            </w:hyperlink>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27c953b2e3004595bc062f37867a09bd_31">
              <w:r>
                <w:rPr>
                  <w:rStyle w:val="InternetLink"/>
                  <w:rFonts w:ascii="Times New Roman;serif" w:hAnsi="Times New Roman;serif"/>
                  <w:b w:val="false"/>
                  <w:strike w:val="false"/>
                  <w:dstrike w:val="false"/>
                  <w:color w:val="000000"/>
                  <w:sz w:val="20"/>
                  <w:u w:val="none"/>
                  <w:effect w:val="none"/>
                </w:rPr>
                <w:t>Item 3.</w:t>
              </w:r>
            </w:hyperlink>
          </w:p>
        </w:tc>
        <w:tc>
          <w:tcPr>
            <w:tcW w:w="8243" w:type="dxa"/>
            <w:gridSpan w:val="3"/>
            <w:tcBorders/>
            <w:shd w:fill="CCEEFF" w:val="clear"/>
            <w:tcMar>
              <w:top w:w="0" w:type="dxa"/>
              <w:left w:w="0" w:type="dxa"/>
              <w:bottom w:w="0" w:type="dxa"/>
              <w:right w:w="0" w:type="dxa"/>
            </w:tcMar>
            <w:vAlign w:val="center"/>
          </w:tcPr>
          <w:p>
            <w:pPr>
              <w:pStyle w:val="TableContents"/>
              <w:bidi w:val="0"/>
              <w:spacing w:lineRule="auto" w:line="288" w:before="40" w:after="40"/>
              <w:ind w:left="0" w:right="0" w:hanging="360"/>
              <w:jc w:val="left"/>
              <w:rPr/>
            </w:pPr>
            <w:hyperlink w:anchor="i27c953b2e3004595bc062f37867a09bd_31">
              <w:r>
                <w:rPr>
                  <w:rStyle w:val="InternetLink"/>
                  <w:rFonts w:ascii="Times New Roman;serif" w:hAnsi="Times New Roman;serif"/>
                  <w:b w:val="false"/>
                  <w:color w:val="0000FF"/>
                  <w:sz w:val="20"/>
                  <w:u w:val="single"/>
                </w:rPr>
                <w:t>Legal Proceedings</w:t>
              </w:r>
            </w:hyperlink>
          </w:p>
        </w:tc>
        <w:tc>
          <w:tcPr>
            <w:tcW w:w="8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27c953b2e3004595bc062f37867a09bd_31">
              <w:r>
                <w:rPr>
                  <w:rStyle w:val="InternetLink"/>
                  <w:rFonts w:ascii="Times New Roman;serif" w:hAnsi="Times New Roman;serif"/>
                  <w:b w:val="false"/>
                  <w:color w:val="0000FF"/>
                  <w:sz w:val="20"/>
                  <w:u w:val="single"/>
                </w:rPr>
                <w:t>42</w:t>
              </w:r>
            </w:hyperlink>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7c953b2e3004595bc062f37867a09bd_34">
              <w:r>
                <w:rPr>
                  <w:rStyle w:val="InternetLink"/>
                  <w:rFonts w:ascii="Times New Roman;serif" w:hAnsi="Times New Roman;serif"/>
                  <w:b w:val="false"/>
                  <w:strike w:val="false"/>
                  <w:dstrike w:val="false"/>
                  <w:color w:val="000000"/>
                  <w:sz w:val="20"/>
                  <w:u w:val="none"/>
                  <w:effect w:val="none"/>
                </w:rPr>
                <w:t>Item 4.</w:t>
              </w:r>
            </w:hyperlink>
          </w:p>
        </w:tc>
        <w:tc>
          <w:tcPr>
            <w:tcW w:w="8243" w:type="dxa"/>
            <w:gridSpan w:val="3"/>
            <w:tcBorders/>
            <w:shd w:fill="FFFFFF" w:val="clear"/>
            <w:tcMar>
              <w:top w:w="0" w:type="dxa"/>
              <w:left w:w="0" w:type="dxa"/>
              <w:bottom w:w="0" w:type="dxa"/>
              <w:right w:w="0" w:type="dxa"/>
            </w:tcMar>
            <w:vAlign w:val="center"/>
          </w:tcPr>
          <w:p>
            <w:pPr>
              <w:pStyle w:val="TableContents"/>
              <w:bidi w:val="0"/>
              <w:spacing w:lineRule="auto" w:line="288" w:before="40" w:after="40"/>
              <w:ind w:left="0" w:right="0" w:hanging="360"/>
              <w:jc w:val="left"/>
              <w:rPr/>
            </w:pPr>
            <w:hyperlink w:anchor="i27c953b2e3004595bc062f37867a09bd_34">
              <w:r>
                <w:rPr>
                  <w:rStyle w:val="InternetLink"/>
                  <w:rFonts w:ascii="Times New Roman;serif" w:hAnsi="Times New Roman;serif"/>
                  <w:b w:val="false"/>
                  <w:color w:val="0000FF"/>
                  <w:sz w:val="20"/>
                  <w:u w:val="single"/>
                </w:rPr>
                <w:t>Mine Safety Disclosures</w:t>
              </w:r>
            </w:hyperlink>
          </w:p>
        </w:tc>
        <w:tc>
          <w:tcPr>
            <w:tcW w:w="8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27c953b2e3004595bc062f37867a09bd_34">
              <w:r>
                <w:rPr>
                  <w:rStyle w:val="InternetLink"/>
                  <w:rFonts w:ascii="Times New Roman;serif" w:hAnsi="Times New Roman;serif"/>
                  <w:b w:val="false"/>
                  <w:color w:val="0000FF"/>
                  <w:sz w:val="20"/>
                  <w:u w:val="single"/>
                </w:rPr>
                <w:t>43</w:t>
              </w:r>
            </w:hyperlink>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40" w:type="dxa"/>
            <w:gridSpan w:val="9"/>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7c953b2e3004595bc062f37867a09bd_37">
              <w:r>
                <w:rPr>
                  <w:rStyle w:val="InternetLink"/>
                  <w:rFonts w:ascii="Times New Roman;serif" w:hAnsi="Times New Roman;serif"/>
                  <w:b/>
                  <w:strike w:val="false"/>
                  <w:dstrike w:val="false"/>
                  <w:color w:val="000000"/>
                  <w:sz w:val="20"/>
                  <w:u w:val="none"/>
                  <w:effect w:val="none"/>
                </w:rPr>
                <w:t>PART II</w:t>
              </w:r>
            </w:hyperlink>
          </w:p>
        </w:tc>
        <w:tc>
          <w:tcPr>
            <w:tcW w:w="8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27c953b2e3004595bc062f37867a09bd_40">
              <w:r>
                <w:rPr>
                  <w:rStyle w:val="InternetLink"/>
                  <w:rFonts w:ascii="Times New Roman;serif" w:hAnsi="Times New Roman;serif"/>
                  <w:b w:val="false"/>
                  <w:strike w:val="false"/>
                  <w:dstrike w:val="false"/>
                  <w:color w:val="000000"/>
                  <w:sz w:val="20"/>
                  <w:u w:val="none"/>
                  <w:effect w:val="none"/>
                </w:rPr>
                <w:t>Item 5.</w:t>
              </w:r>
            </w:hyperlink>
          </w:p>
        </w:tc>
        <w:tc>
          <w:tcPr>
            <w:tcW w:w="8243" w:type="dxa"/>
            <w:gridSpan w:val="3"/>
            <w:tcBorders/>
            <w:shd w:fill="CCEEFF" w:val="clear"/>
            <w:tcMar>
              <w:top w:w="0" w:type="dxa"/>
              <w:left w:w="0" w:type="dxa"/>
              <w:bottom w:w="0" w:type="dxa"/>
              <w:right w:w="0" w:type="dxa"/>
            </w:tcMar>
            <w:vAlign w:val="center"/>
          </w:tcPr>
          <w:p>
            <w:pPr>
              <w:pStyle w:val="TableContents"/>
              <w:bidi w:val="0"/>
              <w:spacing w:lineRule="auto" w:line="288" w:before="40" w:after="40"/>
              <w:ind w:left="0" w:right="0" w:hanging="360"/>
              <w:jc w:val="left"/>
              <w:rPr/>
            </w:pPr>
            <w:hyperlink w:anchor="i27c953b2e3004595bc062f37867a09bd_40">
              <w:r>
                <w:rPr>
                  <w:rStyle w:val="InternetLink"/>
                  <w:rFonts w:ascii="Times New Roman;serif" w:hAnsi="Times New Roman;serif"/>
                  <w:b w:val="false"/>
                  <w:color w:val="0000FF"/>
                  <w:sz w:val="20"/>
                  <w:u w:val="single"/>
                </w:rPr>
                <w:t>Market for Registrant’s Common Equity, Related Stockholder Matters and Issuer Purchases of Equity Securities</w:t>
              </w:r>
            </w:hyperlink>
          </w:p>
        </w:tc>
        <w:tc>
          <w:tcPr>
            <w:tcW w:w="8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27c953b2e3004595bc062f37867a09bd_40">
              <w:r>
                <w:rPr>
                  <w:rStyle w:val="InternetLink"/>
                  <w:rFonts w:ascii="Times New Roman;serif" w:hAnsi="Times New Roman;serif"/>
                  <w:b w:val="false"/>
                  <w:color w:val="0000FF"/>
                  <w:sz w:val="20"/>
                  <w:u w:val="single"/>
                </w:rPr>
                <w:t>44</w:t>
              </w:r>
            </w:hyperlink>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7c953b2e3004595bc062f37867a09bd_43">
              <w:r>
                <w:rPr>
                  <w:rStyle w:val="InternetLink"/>
                  <w:rFonts w:ascii="Times New Roman;serif" w:hAnsi="Times New Roman;serif"/>
                  <w:b w:val="false"/>
                  <w:strike w:val="false"/>
                  <w:dstrike w:val="false"/>
                  <w:color w:val="000000"/>
                  <w:sz w:val="20"/>
                  <w:u w:val="none"/>
                  <w:effect w:val="none"/>
                </w:rPr>
                <w:t>Item 6.</w:t>
              </w:r>
            </w:hyperlink>
          </w:p>
        </w:tc>
        <w:tc>
          <w:tcPr>
            <w:tcW w:w="82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7c953b2e3004595bc062f37867a09bd_43">
              <w:r>
                <w:rPr>
                  <w:rStyle w:val="InternetLink"/>
                  <w:rFonts w:ascii="Times New Roman;serif" w:hAnsi="Times New Roman;serif"/>
                  <w:b w:val="false"/>
                  <w:color w:val="0000FF"/>
                  <w:sz w:val="20"/>
                  <w:u w:val="single"/>
                </w:rPr>
                <w:t>Reserved</w:t>
              </w:r>
            </w:hyperlink>
          </w:p>
        </w:tc>
        <w:tc>
          <w:tcPr>
            <w:tcW w:w="8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27c953b2e3004595bc062f37867a09bd_43">
              <w:r>
                <w:rPr>
                  <w:rStyle w:val="InternetLink"/>
                  <w:rFonts w:ascii="Times New Roman;serif" w:hAnsi="Times New Roman;serif"/>
                  <w:b w:val="false"/>
                  <w:color w:val="0000FF"/>
                  <w:sz w:val="20"/>
                  <w:u w:val="single"/>
                </w:rPr>
                <w:t>45</w:t>
              </w:r>
            </w:hyperlink>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27c953b2e3004595bc062f37867a09bd_46">
              <w:r>
                <w:rPr>
                  <w:rStyle w:val="InternetLink"/>
                  <w:rFonts w:ascii="Times New Roman;serif" w:hAnsi="Times New Roman;serif"/>
                  <w:b w:val="false"/>
                  <w:strike w:val="false"/>
                  <w:dstrike w:val="false"/>
                  <w:color w:val="000000"/>
                  <w:sz w:val="20"/>
                  <w:u w:val="none"/>
                  <w:effect w:val="none"/>
                </w:rPr>
                <w:t>Item 7.</w:t>
              </w:r>
            </w:hyperlink>
          </w:p>
        </w:tc>
        <w:tc>
          <w:tcPr>
            <w:tcW w:w="8243" w:type="dxa"/>
            <w:gridSpan w:val="3"/>
            <w:tcBorders/>
            <w:shd w:fill="CCEEFF" w:val="clear"/>
            <w:tcMar>
              <w:top w:w="0" w:type="dxa"/>
              <w:left w:w="0" w:type="dxa"/>
              <w:bottom w:w="0" w:type="dxa"/>
              <w:right w:w="0" w:type="dxa"/>
            </w:tcMar>
            <w:vAlign w:val="center"/>
          </w:tcPr>
          <w:p>
            <w:pPr>
              <w:pStyle w:val="TableContents"/>
              <w:bidi w:val="0"/>
              <w:spacing w:lineRule="auto" w:line="288" w:before="40" w:after="40"/>
              <w:ind w:left="0" w:right="0" w:hanging="360"/>
              <w:jc w:val="left"/>
              <w:rPr/>
            </w:pPr>
            <w:hyperlink w:anchor="i27c953b2e3004595bc062f37867a09bd_46">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8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27c953b2e3004595bc062f37867a09bd_46">
              <w:r>
                <w:rPr>
                  <w:rStyle w:val="InternetLink"/>
                  <w:rFonts w:ascii="Times New Roman;serif" w:hAnsi="Times New Roman;serif"/>
                  <w:b w:val="false"/>
                  <w:color w:val="0000FF"/>
                  <w:sz w:val="20"/>
                  <w:u w:val="single"/>
                </w:rPr>
                <w:t>45</w:t>
              </w:r>
            </w:hyperlink>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7c953b2e3004595bc062f37867a09bd_79">
              <w:r>
                <w:rPr>
                  <w:rStyle w:val="InternetLink"/>
                  <w:rFonts w:ascii="Times New Roman;serif" w:hAnsi="Times New Roman;serif"/>
                  <w:b w:val="false"/>
                  <w:strike w:val="false"/>
                  <w:dstrike w:val="false"/>
                  <w:color w:val="000000"/>
                  <w:sz w:val="20"/>
                  <w:u w:val="none"/>
                  <w:effect w:val="none"/>
                </w:rPr>
                <w:t>Item 7A.</w:t>
              </w:r>
            </w:hyperlink>
          </w:p>
        </w:tc>
        <w:tc>
          <w:tcPr>
            <w:tcW w:w="82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7c953b2e3004595bc062f37867a09bd_79">
              <w:r>
                <w:rPr>
                  <w:rStyle w:val="InternetLink"/>
                  <w:rFonts w:ascii="Times New Roman;serif" w:hAnsi="Times New Roman;serif"/>
                  <w:b w:val="false"/>
                  <w:color w:val="0000FF"/>
                  <w:sz w:val="20"/>
                  <w:u w:val="single"/>
                </w:rPr>
                <w:t>Quantitative and Qualitative Disclosures About Market Risk</w:t>
              </w:r>
            </w:hyperlink>
          </w:p>
        </w:tc>
        <w:tc>
          <w:tcPr>
            <w:tcW w:w="8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27c953b2e3004595bc062f37867a09bd_79">
              <w:r>
                <w:rPr>
                  <w:rStyle w:val="InternetLink"/>
                  <w:rFonts w:ascii="Times New Roman;serif" w:hAnsi="Times New Roman;serif"/>
                  <w:b w:val="false"/>
                  <w:color w:val="0000FF"/>
                  <w:sz w:val="20"/>
                  <w:u w:val="single"/>
                </w:rPr>
                <w:t>61</w:t>
              </w:r>
            </w:hyperlink>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w:t>
            </w:r>
            <w:hyperlink w:anchor="i27c953b2e3004595bc062f37867a09bd_82">
              <w:r>
                <w:rPr>
                  <w:rStyle w:val="InternetLink"/>
                  <w:rFonts w:ascii="Times New Roman;serif" w:hAnsi="Times New Roman;serif"/>
                  <w:b w:val="false"/>
                  <w:strike w:val="false"/>
                  <w:dstrike w:val="false"/>
                  <w:color w:val="000000"/>
                  <w:sz w:val="20"/>
                  <w:u w:val="none"/>
                  <w:effect w:val="none"/>
                </w:rPr>
                <w:t>tem 8.</w:t>
              </w:r>
            </w:hyperlink>
          </w:p>
        </w:tc>
        <w:tc>
          <w:tcPr>
            <w:tcW w:w="8243" w:type="dxa"/>
            <w:gridSpan w:val="3"/>
            <w:tcBorders/>
            <w:shd w:fill="CCEEFF" w:val="clear"/>
            <w:tcMar>
              <w:top w:w="0" w:type="dxa"/>
              <w:left w:w="0" w:type="dxa"/>
              <w:bottom w:w="0" w:type="dxa"/>
              <w:right w:w="0" w:type="dxa"/>
            </w:tcMar>
            <w:vAlign w:val="center"/>
          </w:tcPr>
          <w:p>
            <w:pPr>
              <w:pStyle w:val="TableContents"/>
              <w:bidi w:val="0"/>
              <w:spacing w:lineRule="auto" w:line="240" w:before="40" w:after="40"/>
              <w:jc w:val="left"/>
              <w:rPr/>
            </w:pPr>
            <w:hyperlink w:anchor="i27c953b2e3004595bc062f37867a09bd_82">
              <w:r>
                <w:rPr>
                  <w:rStyle w:val="InternetLink"/>
                  <w:rFonts w:ascii="Times New Roman;serif" w:hAnsi="Times New Roman;serif"/>
                  <w:b w:val="false"/>
                  <w:color w:val="0000FF"/>
                  <w:sz w:val="20"/>
                  <w:u w:val="single"/>
                </w:rPr>
                <w:t>Financial Statements and Supplementary Data</w:t>
              </w:r>
            </w:hyperlink>
          </w:p>
        </w:tc>
        <w:tc>
          <w:tcPr>
            <w:tcW w:w="8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27c953b2e3004595bc062f37867a09bd_85">
              <w:r>
                <w:rPr>
                  <w:rStyle w:val="InternetLink"/>
                  <w:rFonts w:ascii="Times New Roman;serif" w:hAnsi="Times New Roman;serif"/>
                  <w:b w:val="false"/>
                  <w:color w:val="0000FF"/>
                  <w:sz w:val="20"/>
                  <w:u w:val="single"/>
                </w:rPr>
                <w:t>63</w:t>
              </w:r>
            </w:hyperlink>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7c953b2e3004595bc062f37867a09bd_175">
              <w:r>
                <w:rPr>
                  <w:rStyle w:val="InternetLink"/>
                  <w:rFonts w:ascii="Times New Roman;serif" w:hAnsi="Times New Roman;serif"/>
                  <w:b w:val="false"/>
                  <w:strike w:val="false"/>
                  <w:dstrike w:val="false"/>
                  <w:color w:val="000000"/>
                  <w:sz w:val="20"/>
                  <w:u w:val="none"/>
                  <w:effect w:val="none"/>
                </w:rPr>
                <w:t>Item 9.</w:t>
              </w:r>
            </w:hyperlink>
          </w:p>
        </w:tc>
        <w:tc>
          <w:tcPr>
            <w:tcW w:w="8243" w:type="dxa"/>
            <w:gridSpan w:val="3"/>
            <w:tcBorders/>
            <w:shd w:fill="FFFFFF" w:val="clear"/>
            <w:tcMar>
              <w:top w:w="0" w:type="dxa"/>
              <w:left w:w="0" w:type="dxa"/>
              <w:bottom w:w="0" w:type="dxa"/>
              <w:right w:w="0" w:type="dxa"/>
            </w:tcMar>
            <w:vAlign w:val="center"/>
          </w:tcPr>
          <w:p>
            <w:pPr>
              <w:pStyle w:val="TableContents"/>
              <w:bidi w:val="0"/>
              <w:spacing w:lineRule="auto" w:line="288" w:before="40" w:after="40"/>
              <w:ind w:left="0" w:right="0" w:hanging="360"/>
              <w:jc w:val="left"/>
              <w:rPr/>
            </w:pPr>
            <w:hyperlink w:anchor="i27c953b2e3004595bc062f37867a09bd_175">
              <w:r>
                <w:rPr>
                  <w:rStyle w:val="InternetLink"/>
                  <w:rFonts w:ascii="Times New Roman;serif" w:hAnsi="Times New Roman;serif"/>
                  <w:b w:val="false"/>
                  <w:color w:val="0000FF"/>
                  <w:sz w:val="20"/>
                  <w:u w:val="single"/>
                </w:rPr>
                <w:t>Changes in and Disagreements with Accountants on Accounting and Financial Disclosure</w:t>
              </w:r>
            </w:hyperlink>
          </w:p>
        </w:tc>
        <w:tc>
          <w:tcPr>
            <w:tcW w:w="8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27c953b2e3004595bc062f37867a09bd_178">
              <w:r>
                <w:rPr>
                  <w:rStyle w:val="InternetLink"/>
                  <w:rFonts w:ascii="Times New Roman;serif" w:hAnsi="Times New Roman;serif"/>
                  <w:b w:val="false"/>
                  <w:color w:val="0000FF"/>
                  <w:sz w:val="20"/>
                  <w:u w:val="single"/>
                </w:rPr>
                <w:t>110</w:t>
              </w:r>
            </w:hyperlink>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27c953b2e3004595bc062f37867a09bd_178">
              <w:r>
                <w:rPr>
                  <w:rStyle w:val="InternetLink"/>
                  <w:rFonts w:ascii="Times New Roman;serif" w:hAnsi="Times New Roman;serif"/>
                  <w:b w:val="false"/>
                  <w:strike w:val="false"/>
                  <w:dstrike w:val="false"/>
                  <w:color w:val="000000"/>
                  <w:sz w:val="20"/>
                  <w:u w:val="none"/>
                  <w:effect w:val="none"/>
                </w:rPr>
                <w:t>Item 9A.</w:t>
              </w:r>
            </w:hyperlink>
          </w:p>
        </w:tc>
        <w:tc>
          <w:tcPr>
            <w:tcW w:w="8243" w:type="dxa"/>
            <w:gridSpan w:val="3"/>
            <w:tcBorders/>
            <w:shd w:fill="CCEEFF" w:val="clear"/>
            <w:tcMar>
              <w:top w:w="0" w:type="dxa"/>
              <w:left w:w="0" w:type="dxa"/>
              <w:bottom w:w="0" w:type="dxa"/>
              <w:right w:w="0" w:type="dxa"/>
            </w:tcMar>
            <w:vAlign w:val="center"/>
          </w:tcPr>
          <w:p>
            <w:pPr>
              <w:pStyle w:val="TableContents"/>
              <w:bidi w:val="0"/>
              <w:spacing w:lineRule="auto" w:line="288" w:before="40" w:after="40"/>
              <w:ind w:left="0" w:right="0" w:hanging="360"/>
              <w:jc w:val="left"/>
              <w:rPr/>
            </w:pPr>
            <w:hyperlink w:anchor="i27c953b2e3004595bc062f37867a09bd_178">
              <w:r>
                <w:rPr>
                  <w:rStyle w:val="InternetLink"/>
                  <w:rFonts w:ascii="Times New Roman;serif" w:hAnsi="Times New Roman;serif"/>
                  <w:b w:val="false"/>
                  <w:color w:val="0000FF"/>
                  <w:sz w:val="20"/>
                  <w:u w:val="single"/>
                </w:rPr>
                <w:t>Controls and Procedures</w:t>
              </w:r>
            </w:hyperlink>
          </w:p>
        </w:tc>
        <w:tc>
          <w:tcPr>
            <w:tcW w:w="8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27c953b2e3004595bc062f37867a09bd_178">
              <w:r>
                <w:rPr>
                  <w:rStyle w:val="InternetLink"/>
                  <w:rFonts w:ascii="Times New Roman;serif" w:hAnsi="Times New Roman;serif"/>
                  <w:b w:val="false"/>
                  <w:color w:val="0000FF"/>
                  <w:sz w:val="20"/>
                  <w:u w:val="single"/>
                </w:rPr>
                <w:t>110</w:t>
              </w:r>
            </w:hyperlink>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7c953b2e3004595bc062f37867a09bd_184">
              <w:r>
                <w:rPr>
                  <w:rStyle w:val="InternetLink"/>
                  <w:rFonts w:ascii="Times New Roman;serif" w:hAnsi="Times New Roman;serif"/>
                  <w:b w:val="false"/>
                  <w:strike w:val="false"/>
                  <w:dstrike w:val="false"/>
                  <w:color w:val="000080"/>
                  <w:sz w:val="20"/>
                  <w:u w:val="single"/>
                  <w:effect w:val="none"/>
                </w:rPr>
                <w:t>Item 9B</w:t>
              </w:r>
            </w:hyperlink>
            <w:hyperlink w:anchor="i27c953b2e3004595bc062f37867a09bd_184">
              <w:r>
                <w:rPr>
                  <w:rStyle w:val="InternetLink"/>
                  <w:rFonts w:ascii="Times New Roman;serif" w:hAnsi="Times New Roman;serif"/>
                  <w:b w:val="false"/>
                  <w:strike w:val="false"/>
                  <w:dstrike w:val="false"/>
                  <w:color w:val="000080"/>
                  <w:sz w:val="20"/>
                  <w:u w:val="single"/>
                  <w:effect w:val="none"/>
                </w:rPr>
                <w:t>.</w:t>
              </w:r>
            </w:hyperlink>
          </w:p>
        </w:tc>
        <w:tc>
          <w:tcPr>
            <w:tcW w:w="8243" w:type="dxa"/>
            <w:gridSpan w:val="3"/>
            <w:tcBorders/>
            <w:shd w:fill="FFFFFF" w:val="clear"/>
            <w:tcMar>
              <w:top w:w="0" w:type="dxa"/>
              <w:left w:w="0" w:type="dxa"/>
              <w:bottom w:w="0" w:type="dxa"/>
              <w:right w:w="0" w:type="dxa"/>
            </w:tcMar>
            <w:vAlign w:val="center"/>
          </w:tcPr>
          <w:p>
            <w:pPr>
              <w:pStyle w:val="TableContents"/>
              <w:bidi w:val="0"/>
              <w:spacing w:lineRule="auto" w:line="288" w:before="40" w:after="40"/>
              <w:ind w:left="0" w:right="0" w:hanging="360"/>
              <w:jc w:val="left"/>
              <w:rPr/>
            </w:pPr>
            <w:hyperlink w:anchor="i27c953b2e3004595bc062f37867a09bd_184">
              <w:r>
                <w:rPr>
                  <w:rStyle w:val="InternetLink"/>
                  <w:rFonts w:ascii="Times New Roman;serif" w:hAnsi="Times New Roman;serif"/>
                  <w:b w:val="false"/>
                  <w:color w:val="0000FF"/>
                  <w:sz w:val="20"/>
                  <w:u w:val="single"/>
                </w:rPr>
                <w:t>Other Information</w:t>
              </w:r>
            </w:hyperlink>
          </w:p>
        </w:tc>
        <w:tc>
          <w:tcPr>
            <w:tcW w:w="8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27c953b2e3004595bc062f37867a09bd_184">
              <w:r>
                <w:rPr>
                  <w:rStyle w:val="InternetLink"/>
                  <w:rFonts w:ascii="Times New Roman;serif" w:hAnsi="Times New Roman;serif"/>
                  <w:b w:val="false"/>
                  <w:color w:val="0000FF"/>
                  <w:sz w:val="20"/>
                  <w:u w:val="single"/>
                </w:rPr>
                <w:t>113</w:t>
              </w:r>
            </w:hyperlink>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27c953b2e3004595bc062f37867a09bd_187">
              <w:r>
                <w:rPr>
                  <w:rStyle w:val="InternetLink"/>
                  <w:rFonts w:ascii="Times New Roman;serif" w:hAnsi="Times New Roman;serif"/>
                  <w:b w:val="false"/>
                  <w:strike w:val="false"/>
                  <w:dstrike w:val="false"/>
                  <w:color w:val="000000"/>
                  <w:sz w:val="20"/>
                  <w:u w:val="none"/>
                  <w:effect w:val="none"/>
                </w:rPr>
                <w:t>Item 9C.</w:t>
              </w:r>
            </w:hyperlink>
          </w:p>
        </w:tc>
        <w:tc>
          <w:tcPr>
            <w:tcW w:w="8243" w:type="dxa"/>
            <w:gridSpan w:val="3"/>
            <w:tcBorders/>
            <w:shd w:fill="CCEEFF" w:val="clear"/>
            <w:tcMar>
              <w:top w:w="0" w:type="dxa"/>
              <w:left w:w="0" w:type="dxa"/>
              <w:bottom w:w="0" w:type="dxa"/>
              <w:right w:w="0" w:type="dxa"/>
            </w:tcMar>
            <w:vAlign w:val="center"/>
          </w:tcPr>
          <w:p>
            <w:pPr>
              <w:pStyle w:val="TableContents"/>
              <w:bidi w:val="0"/>
              <w:spacing w:lineRule="auto" w:line="288" w:before="40" w:after="283"/>
              <w:jc w:val="left"/>
              <w:rPr/>
            </w:pPr>
            <w:hyperlink w:anchor="i27c953b2e3004595bc062f37867a09bd_187">
              <w:r>
                <w:rPr>
                  <w:rStyle w:val="InternetLink"/>
                  <w:rFonts w:ascii="Times New Roman;serif" w:hAnsi="Times New Roman;serif"/>
                  <w:b w:val="false"/>
                  <w:color w:val="0000FF"/>
                  <w:sz w:val="20"/>
                  <w:u w:val="single"/>
                </w:rPr>
                <w:t>Disclosure Regarding Foreign Jurisdictions that Prevent Inspections</w:t>
              </w:r>
            </w:hyperlink>
          </w:p>
        </w:tc>
        <w:tc>
          <w:tcPr>
            <w:tcW w:w="8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27c953b2e3004595bc062f37867a09bd_187">
              <w:r>
                <w:rPr>
                  <w:rStyle w:val="InternetLink"/>
                  <w:rFonts w:ascii="Times New Roman;serif" w:hAnsi="Times New Roman;serif"/>
                  <w:b w:val="false"/>
                  <w:color w:val="0000FF"/>
                  <w:sz w:val="20"/>
                  <w:u w:val="single"/>
                </w:rPr>
                <w:t>113</w:t>
              </w:r>
            </w:hyperlink>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40" w:type="dxa"/>
            <w:gridSpan w:val="9"/>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27c953b2e3004595bc062f37867a09bd_190">
              <w:r>
                <w:rPr>
                  <w:rStyle w:val="InternetLink"/>
                  <w:rFonts w:ascii="Times New Roman;serif" w:hAnsi="Times New Roman;serif"/>
                  <w:b/>
                  <w:strike w:val="false"/>
                  <w:dstrike w:val="false"/>
                  <w:color w:val="000000"/>
                  <w:sz w:val="20"/>
                  <w:u w:val="none"/>
                  <w:effect w:val="none"/>
                </w:rPr>
                <w:t>PART III</w:t>
              </w:r>
            </w:hyperlink>
          </w:p>
        </w:tc>
        <w:tc>
          <w:tcPr>
            <w:tcW w:w="8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7c953b2e3004595bc062f37867a09bd_193">
              <w:r>
                <w:rPr>
                  <w:rStyle w:val="InternetLink"/>
                  <w:rFonts w:ascii="Times New Roman;serif" w:hAnsi="Times New Roman;serif"/>
                  <w:b w:val="false"/>
                  <w:strike w:val="false"/>
                  <w:dstrike w:val="false"/>
                  <w:color w:val="000000"/>
                  <w:sz w:val="20"/>
                  <w:u w:val="none"/>
                  <w:effect w:val="none"/>
                </w:rPr>
                <w:t>Item 10.</w:t>
              </w:r>
            </w:hyperlink>
          </w:p>
        </w:tc>
        <w:tc>
          <w:tcPr>
            <w:tcW w:w="8243" w:type="dxa"/>
            <w:gridSpan w:val="3"/>
            <w:tcBorders/>
            <w:shd w:fill="FFFFFF" w:val="clear"/>
            <w:tcMar>
              <w:top w:w="0" w:type="dxa"/>
              <w:left w:w="0" w:type="dxa"/>
              <w:bottom w:w="0" w:type="dxa"/>
              <w:right w:w="0" w:type="dxa"/>
            </w:tcMar>
            <w:vAlign w:val="center"/>
          </w:tcPr>
          <w:p>
            <w:pPr>
              <w:pStyle w:val="TableContents"/>
              <w:bidi w:val="0"/>
              <w:spacing w:lineRule="auto" w:line="288" w:before="40" w:after="40"/>
              <w:ind w:left="0" w:right="0" w:hanging="360"/>
              <w:jc w:val="left"/>
              <w:rPr/>
            </w:pPr>
            <w:hyperlink w:anchor="i27c953b2e3004595bc062f37867a09bd_193">
              <w:r>
                <w:rPr>
                  <w:rStyle w:val="InternetLink"/>
                  <w:rFonts w:ascii="Times New Roman;serif" w:hAnsi="Times New Roman;serif"/>
                  <w:b w:val="false"/>
                  <w:color w:val="0000FF"/>
                  <w:sz w:val="20"/>
                  <w:u w:val="single"/>
                </w:rPr>
                <w:t>Directors, Executive Officers and Corporate Governance</w:t>
              </w:r>
            </w:hyperlink>
          </w:p>
        </w:tc>
        <w:tc>
          <w:tcPr>
            <w:tcW w:w="8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27c953b2e3004595bc062f37867a09bd_193">
              <w:r>
                <w:rPr>
                  <w:rStyle w:val="InternetLink"/>
                  <w:rFonts w:ascii="Times New Roman;serif" w:hAnsi="Times New Roman;serif"/>
                  <w:b w:val="false"/>
                  <w:color w:val="0000FF"/>
                  <w:sz w:val="20"/>
                  <w:u w:val="single"/>
                </w:rPr>
                <w:t>114</w:t>
              </w:r>
            </w:hyperlink>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27c953b2e3004595bc062f37867a09bd_196">
              <w:r>
                <w:rPr>
                  <w:rStyle w:val="InternetLink"/>
                  <w:rFonts w:ascii="Times New Roman;serif" w:hAnsi="Times New Roman;serif"/>
                  <w:b w:val="false"/>
                  <w:strike w:val="false"/>
                  <w:dstrike w:val="false"/>
                  <w:color w:val="000000"/>
                  <w:sz w:val="20"/>
                  <w:u w:val="none"/>
                  <w:effect w:val="none"/>
                </w:rPr>
                <w:t>Item 11.</w:t>
              </w:r>
            </w:hyperlink>
          </w:p>
        </w:tc>
        <w:tc>
          <w:tcPr>
            <w:tcW w:w="8243" w:type="dxa"/>
            <w:gridSpan w:val="3"/>
            <w:tcBorders/>
            <w:shd w:fill="CCEEFF" w:val="clear"/>
            <w:tcMar>
              <w:top w:w="0" w:type="dxa"/>
              <w:left w:w="0" w:type="dxa"/>
              <w:bottom w:w="0" w:type="dxa"/>
              <w:right w:w="0" w:type="dxa"/>
            </w:tcMar>
            <w:vAlign w:val="center"/>
          </w:tcPr>
          <w:p>
            <w:pPr>
              <w:pStyle w:val="TableContents"/>
              <w:bidi w:val="0"/>
              <w:spacing w:lineRule="auto" w:line="288" w:before="40" w:after="40"/>
              <w:ind w:left="0" w:right="0" w:hanging="360"/>
              <w:jc w:val="left"/>
              <w:rPr/>
            </w:pPr>
            <w:hyperlink w:anchor="i27c953b2e3004595bc062f37867a09bd_196">
              <w:r>
                <w:rPr>
                  <w:rStyle w:val="InternetLink"/>
                  <w:rFonts w:ascii="Times New Roman;serif" w:hAnsi="Times New Roman;serif"/>
                  <w:b w:val="false"/>
                  <w:color w:val="0000FF"/>
                  <w:sz w:val="20"/>
                  <w:u w:val="single"/>
                </w:rPr>
                <w:t>Executive Compensation</w:t>
              </w:r>
            </w:hyperlink>
          </w:p>
        </w:tc>
        <w:tc>
          <w:tcPr>
            <w:tcW w:w="8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27c953b2e3004595bc062f37867a09bd_196">
              <w:r>
                <w:rPr>
                  <w:rStyle w:val="InternetLink"/>
                  <w:rFonts w:ascii="Times New Roman;serif" w:hAnsi="Times New Roman;serif"/>
                  <w:b w:val="false"/>
                  <w:color w:val="0000FF"/>
                  <w:sz w:val="20"/>
                  <w:u w:val="single"/>
                </w:rPr>
                <w:t>115</w:t>
              </w:r>
            </w:hyperlink>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7c953b2e3004595bc062f37867a09bd_199">
              <w:r>
                <w:rPr>
                  <w:rStyle w:val="InternetLink"/>
                  <w:rFonts w:ascii="Times New Roman;serif" w:hAnsi="Times New Roman;serif"/>
                  <w:b w:val="false"/>
                  <w:strike w:val="false"/>
                  <w:dstrike w:val="false"/>
                  <w:color w:val="000000"/>
                  <w:sz w:val="20"/>
                  <w:u w:val="none"/>
                  <w:effect w:val="none"/>
                </w:rPr>
                <w:t>Item 12.</w:t>
              </w:r>
            </w:hyperlink>
          </w:p>
        </w:tc>
        <w:tc>
          <w:tcPr>
            <w:tcW w:w="8243" w:type="dxa"/>
            <w:gridSpan w:val="3"/>
            <w:tcBorders/>
            <w:shd w:fill="FFFFFF" w:val="clear"/>
            <w:tcMar>
              <w:top w:w="0" w:type="dxa"/>
              <w:left w:w="0" w:type="dxa"/>
              <w:bottom w:w="0" w:type="dxa"/>
              <w:right w:w="0" w:type="dxa"/>
            </w:tcMar>
            <w:vAlign w:val="center"/>
          </w:tcPr>
          <w:p>
            <w:pPr>
              <w:pStyle w:val="TableContents"/>
              <w:bidi w:val="0"/>
              <w:spacing w:lineRule="auto" w:line="288" w:before="40" w:after="40"/>
              <w:ind w:left="0" w:right="0" w:hanging="360"/>
              <w:jc w:val="left"/>
              <w:rPr/>
            </w:pPr>
            <w:hyperlink w:anchor="i27c953b2e3004595bc062f37867a09bd_199">
              <w:r>
                <w:rPr>
                  <w:rStyle w:val="InternetLink"/>
                  <w:rFonts w:ascii="Times New Roman;serif" w:hAnsi="Times New Roman;serif"/>
                  <w:b w:val="false"/>
                  <w:color w:val="0000FF"/>
                  <w:sz w:val="20"/>
                  <w:u w:val="single"/>
                </w:rPr>
                <w:t>Security Ownership of Certain Beneficial Owners and Management and Related Stockholder Matters</w:t>
              </w:r>
            </w:hyperlink>
          </w:p>
        </w:tc>
        <w:tc>
          <w:tcPr>
            <w:tcW w:w="8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27c953b2e3004595bc062f37867a09bd_199">
              <w:r>
                <w:rPr>
                  <w:rStyle w:val="InternetLink"/>
                  <w:rFonts w:ascii="Times New Roman;serif" w:hAnsi="Times New Roman;serif"/>
                  <w:b w:val="false"/>
                  <w:color w:val="0000FF"/>
                  <w:sz w:val="20"/>
                  <w:u w:val="single"/>
                </w:rPr>
                <w:t>115</w:t>
              </w:r>
            </w:hyperlink>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27c953b2e3004595bc062f37867a09bd_202">
              <w:r>
                <w:rPr>
                  <w:rStyle w:val="InternetLink"/>
                  <w:rFonts w:ascii="Times New Roman;serif" w:hAnsi="Times New Roman;serif"/>
                  <w:b w:val="false"/>
                  <w:strike w:val="false"/>
                  <w:dstrike w:val="false"/>
                  <w:color w:val="000000"/>
                  <w:sz w:val="20"/>
                  <w:u w:val="none"/>
                  <w:effect w:val="none"/>
                </w:rPr>
                <w:t>Item 13.</w:t>
              </w:r>
            </w:hyperlink>
          </w:p>
        </w:tc>
        <w:tc>
          <w:tcPr>
            <w:tcW w:w="8243" w:type="dxa"/>
            <w:gridSpan w:val="3"/>
            <w:tcBorders/>
            <w:shd w:fill="CCEEFF" w:val="clear"/>
            <w:tcMar>
              <w:top w:w="0" w:type="dxa"/>
              <w:left w:w="0" w:type="dxa"/>
              <w:bottom w:w="0" w:type="dxa"/>
              <w:right w:w="0" w:type="dxa"/>
            </w:tcMar>
            <w:vAlign w:val="center"/>
          </w:tcPr>
          <w:p>
            <w:pPr>
              <w:pStyle w:val="TableContents"/>
              <w:bidi w:val="0"/>
              <w:spacing w:lineRule="auto" w:line="288" w:before="40" w:after="40"/>
              <w:ind w:left="0" w:right="0" w:hanging="360"/>
              <w:jc w:val="left"/>
              <w:rPr/>
            </w:pPr>
            <w:hyperlink w:anchor="i27c953b2e3004595bc062f37867a09bd_202">
              <w:r>
                <w:rPr>
                  <w:rStyle w:val="InternetLink"/>
                  <w:rFonts w:ascii="Times New Roman;serif" w:hAnsi="Times New Roman;serif"/>
                  <w:b w:val="false"/>
                  <w:color w:val="0000FF"/>
                  <w:sz w:val="20"/>
                  <w:u w:val="single"/>
                </w:rPr>
                <w:t>Certain Relationships and Related Transactions, and Director Independence</w:t>
              </w:r>
            </w:hyperlink>
          </w:p>
        </w:tc>
        <w:tc>
          <w:tcPr>
            <w:tcW w:w="8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27c953b2e3004595bc062f37867a09bd_202">
              <w:r>
                <w:rPr>
                  <w:rStyle w:val="InternetLink"/>
                  <w:rFonts w:ascii="Times New Roman;serif" w:hAnsi="Times New Roman;serif"/>
                  <w:b w:val="false"/>
                  <w:color w:val="0000FF"/>
                  <w:sz w:val="20"/>
                  <w:u w:val="single"/>
                </w:rPr>
                <w:t>115</w:t>
              </w:r>
            </w:hyperlink>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7c953b2e3004595bc062f37867a09bd_205">
              <w:r>
                <w:rPr>
                  <w:rStyle w:val="InternetLink"/>
                  <w:rFonts w:ascii="Times New Roman;serif" w:hAnsi="Times New Roman;serif"/>
                  <w:b w:val="false"/>
                  <w:strike w:val="false"/>
                  <w:dstrike w:val="false"/>
                  <w:color w:val="000000"/>
                  <w:sz w:val="20"/>
                  <w:u w:val="none"/>
                  <w:effect w:val="none"/>
                </w:rPr>
                <w:t>Item 14.</w:t>
              </w:r>
            </w:hyperlink>
          </w:p>
        </w:tc>
        <w:tc>
          <w:tcPr>
            <w:tcW w:w="8243" w:type="dxa"/>
            <w:gridSpan w:val="3"/>
            <w:tcBorders/>
            <w:shd w:fill="FFFFFF" w:val="clear"/>
            <w:tcMar>
              <w:top w:w="0" w:type="dxa"/>
              <w:left w:w="0" w:type="dxa"/>
              <w:bottom w:w="0" w:type="dxa"/>
              <w:right w:w="0" w:type="dxa"/>
            </w:tcMar>
            <w:vAlign w:val="center"/>
          </w:tcPr>
          <w:p>
            <w:pPr>
              <w:pStyle w:val="TableContents"/>
              <w:bidi w:val="0"/>
              <w:spacing w:lineRule="auto" w:line="288" w:before="40" w:after="40"/>
              <w:ind w:left="0" w:right="0" w:hanging="360"/>
              <w:jc w:val="left"/>
              <w:rPr/>
            </w:pPr>
            <w:hyperlink w:anchor="i27c953b2e3004595bc062f37867a09bd_205">
              <w:r>
                <w:rPr>
                  <w:rStyle w:val="InternetLink"/>
                  <w:rFonts w:ascii="Times New Roman;serif" w:hAnsi="Times New Roman;serif"/>
                  <w:b w:val="false"/>
                  <w:color w:val="0000FF"/>
                  <w:sz w:val="20"/>
                  <w:u w:val="single"/>
                </w:rPr>
                <w:t>Principal Accountant Fees and Services</w:t>
              </w:r>
            </w:hyperlink>
          </w:p>
        </w:tc>
        <w:tc>
          <w:tcPr>
            <w:tcW w:w="8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27c953b2e3004595bc062f37867a09bd_205">
              <w:r>
                <w:rPr>
                  <w:rStyle w:val="InternetLink"/>
                  <w:rFonts w:ascii="Times New Roman;serif" w:hAnsi="Times New Roman;serif"/>
                  <w:b w:val="false"/>
                  <w:color w:val="0000FF"/>
                  <w:sz w:val="20"/>
                  <w:u w:val="single"/>
                </w:rPr>
                <w:t>115</w:t>
              </w:r>
            </w:hyperlink>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8" w:type="dxa"/>
            <w:gridSpan w:val="6"/>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40" w:type="dxa"/>
            <w:gridSpan w:val="9"/>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7c953b2e3004595bc062f37867a09bd_208">
              <w:r>
                <w:rPr>
                  <w:rStyle w:val="InternetLink"/>
                  <w:rFonts w:ascii="Times New Roman;serif" w:hAnsi="Times New Roman;serif"/>
                  <w:b/>
                  <w:strike w:val="false"/>
                  <w:dstrike w:val="false"/>
                  <w:color w:val="000000"/>
                  <w:sz w:val="20"/>
                  <w:u w:val="none"/>
                  <w:effect w:val="none"/>
                </w:rPr>
                <w:t>PART IV</w:t>
              </w:r>
            </w:hyperlink>
          </w:p>
        </w:tc>
        <w:tc>
          <w:tcPr>
            <w:tcW w:w="8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27c953b2e3004595bc062f37867a09bd_211">
              <w:r>
                <w:rPr>
                  <w:rStyle w:val="InternetLink"/>
                  <w:rFonts w:ascii="Times New Roman;serif" w:hAnsi="Times New Roman;serif"/>
                  <w:b w:val="false"/>
                  <w:strike w:val="false"/>
                  <w:dstrike w:val="false"/>
                  <w:color w:val="000000"/>
                  <w:sz w:val="20"/>
                  <w:u w:val="none"/>
                  <w:effect w:val="none"/>
                </w:rPr>
                <w:t>Item 15.</w:t>
              </w:r>
            </w:hyperlink>
          </w:p>
        </w:tc>
        <w:tc>
          <w:tcPr>
            <w:tcW w:w="8243" w:type="dxa"/>
            <w:gridSpan w:val="3"/>
            <w:tcBorders/>
            <w:shd w:fill="CCEEFF" w:val="clear"/>
            <w:tcMar>
              <w:top w:w="0" w:type="dxa"/>
              <w:left w:w="0" w:type="dxa"/>
              <w:bottom w:w="0" w:type="dxa"/>
              <w:right w:w="0" w:type="dxa"/>
            </w:tcMar>
            <w:vAlign w:val="center"/>
          </w:tcPr>
          <w:p>
            <w:pPr>
              <w:pStyle w:val="TableContents"/>
              <w:bidi w:val="0"/>
              <w:spacing w:lineRule="auto" w:line="288" w:before="40" w:after="40"/>
              <w:ind w:left="0" w:right="0" w:hanging="360"/>
              <w:jc w:val="left"/>
              <w:rPr/>
            </w:pPr>
            <w:hyperlink w:anchor="i27c953b2e3004595bc062f37867a09bd_211">
              <w:r>
                <w:rPr>
                  <w:rStyle w:val="InternetLink"/>
                  <w:rFonts w:ascii="Times New Roman;serif" w:hAnsi="Times New Roman;serif"/>
                  <w:b w:val="false"/>
                  <w:color w:val="0000FF"/>
                  <w:sz w:val="20"/>
                  <w:u w:val="single"/>
                </w:rPr>
                <w:t>Exhibits and Financial Statement Schedules</w:t>
              </w:r>
            </w:hyperlink>
          </w:p>
        </w:tc>
        <w:tc>
          <w:tcPr>
            <w:tcW w:w="8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27c953b2e3004595bc062f37867a09bd_211">
              <w:r>
                <w:rPr>
                  <w:rStyle w:val="InternetLink"/>
                  <w:rFonts w:ascii="Times New Roman;serif" w:hAnsi="Times New Roman;serif"/>
                  <w:b w:val="false"/>
                  <w:color w:val="0000FF"/>
                  <w:sz w:val="20"/>
                  <w:u w:val="single"/>
                </w:rPr>
                <w:t>116</w:t>
              </w:r>
            </w:hyperlink>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7c953b2e3004595bc062f37867a09bd_214">
              <w:r>
                <w:rPr>
                  <w:rStyle w:val="InternetLink"/>
                  <w:rFonts w:ascii="Times New Roman;serif" w:hAnsi="Times New Roman;serif"/>
                  <w:b w:val="false"/>
                  <w:strike w:val="false"/>
                  <w:dstrike w:val="false"/>
                  <w:color w:val="000000"/>
                  <w:sz w:val="20"/>
                  <w:u w:val="none"/>
                  <w:effect w:val="none"/>
                </w:rPr>
                <w:t>Item 16.</w:t>
              </w:r>
            </w:hyperlink>
          </w:p>
        </w:tc>
        <w:tc>
          <w:tcPr>
            <w:tcW w:w="8243" w:type="dxa"/>
            <w:gridSpan w:val="3"/>
            <w:tcBorders/>
            <w:shd w:fill="FFFFFF" w:val="clear"/>
            <w:tcMar>
              <w:top w:w="0" w:type="dxa"/>
              <w:left w:w="0" w:type="dxa"/>
              <w:bottom w:w="0" w:type="dxa"/>
              <w:right w:w="0" w:type="dxa"/>
            </w:tcMar>
            <w:vAlign w:val="center"/>
          </w:tcPr>
          <w:p>
            <w:pPr>
              <w:pStyle w:val="TableContents"/>
              <w:bidi w:val="0"/>
              <w:spacing w:lineRule="auto" w:line="288" w:before="40" w:after="40"/>
              <w:jc w:val="left"/>
              <w:rPr/>
            </w:pPr>
            <w:hyperlink w:anchor="i27c953b2e3004595bc062f37867a09bd_214">
              <w:r>
                <w:rPr>
                  <w:rStyle w:val="InternetLink"/>
                  <w:rFonts w:ascii="Times New Roman;serif" w:hAnsi="Times New Roman;serif"/>
                  <w:b w:val="false"/>
                  <w:color w:val="0000FF"/>
                  <w:sz w:val="20"/>
                  <w:u w:val="single"/>
                </w:rPr>
                <w:t>Form 10-K Summary</w:t>
              </w:r>
            </w:hyperlink>
          </w:p>
        </w:tc>
        <w:tc>
          <w:tcPr>
            <w:tcW w:w="8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27c953b2e3004595bc062f37867a09bd_214">
              <w:r>
                <w:rPr>
                  <w:rStyle w:val="InternetLink"/>
                  <w:rFonts w:ascii="Times New Roman;serif" w:hAnsi="Times New Roman;serif"/>
                  <w:b w:val="false"/>
                  <w:color w:val="0000FF"/>
                  <w:sz w:val="20"/>
                  <w:u w:val="single"/>
                </w:rPr>
                <w:t>122</w:t>
              </w:r>
            </w:hyperlink>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3" w:type="dxa"/>
            <w:gridSpan w:val="3"/>
            <w:tcBorders/>
            <w:shd w:fill="FFFFFF" w:val="clear"/>
            <w:tcMar>
              <w:top w:w="0" w:type="dxa"/>
              <w:left w:w="0" w:type="dxa"/>
              <w:bottom w:w="0" w:type="dxa"/>
              <w:right w:w="0" w:type="dxa"/>
            </w:tcMar>
            <w:vAlign w:val="center"/>
          </w:tcPr>
          <w:p>
            <w:pPr>
              <w:pStyle w:val="TableContents"/>
              <w:bidi w:val="0"/>
              <w:spacing w:lineRule="auto" w:line="288" w:before="40" w:after="40"/>
              <w:ind w:left="0" w:right="0" w:hanging="360"/>
              <w:jc w:val="left"/>
              <w:rPr/>
            </w:pPr>
            <w:hyperlink w:anchor="i27c953b2e3004595bc062f37867a09bd_217">
              <w:r>
                <w:rPr>
                  <w:rStyle w:val="InternetLink"/>
                  <w:rFonts w:ascii="Times New Roman;serif" w:hAnsi="Times New Roman;serif"/>
                  <w:b w:val="false"/>
                  <w:color w:val="0000FF"/>
                  <w:sz w:val="20"/>
                  <w:u w:val="single"/>
                </w:rPr>
                <w:t>Signatures</w:t>
              </w:r>
            </w:hyperlink>
          </w:p>
        </w:tc>
        <w:tc>
          <w:tcPr>
            <w:tcW w:w="8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27c953b2e3004595bc062f37867a09bd_217">
              <w:r>
                <w:rPr>
                  <w:rStyle w:val="InternetLink"/>
                  <w:rFonts w:ascii="Times New Roman;serif" w:hAnsi="Times New Roman;serif"/>
                  <w:b w:val="false"/>
                  <w:color w:val="0000FF"/>
                  <w:sz w:val="20"/>
                  <w:u w:val="single"/>
                </w:rPr>
                <w:t>123</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27c953b2e3004595bc062f37867a09b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CAUTIONARY NOTE REGARDING FORWARD-LOOKING STATEMENTS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This Annual Report on Form 10-K includes “forward-looking statements” within the meaning of the Private Securities Litigation Reform Act of 1995. Forward-looking statements are often characterized by the use of words such as “believes,” “estimates,” “expects,” “projects,” “may,” “intends,” “plans” or “anticipates,” or by discussions of strategy, plans or intentions. Such forward-looking statements involve known and unknown risks, uncertainties and other important factors that could cause our actual results, performance, achievements, or industry results, to differ materially from historical results or any future results, performance or achievements expressed, suggested or implied by such forward-looking statements. Such risks and uncertainties include but are not limited to:</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a disruption in the availability or supply of, or increases in the price of, ethylene oxide (“EO”), Cobalt-60 (“Co-60”) or our other direct materials, services and supplies, including as a result of geopolitical instability and/or sanctions against Russia by the United States, Canada, the United Kingdom and/or the European Union, or sanctions by Russia against those countries;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fluctuations in foreign currency exchange rates;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evolving changes in environmental, health and safety regulations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health and safety risks associated with the use, storage, transportation and disposal of potentially hazardous materials such as EO and Co-60;</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impact and outcome of current and future legal proceedings and liability claims, including litigation related to the use, emissions and releases of EO from our current and former EO sterilization facilities, and the possibility that additional claims will be made in the future;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allegations of our failure to properly perform services and potential product liability claims, recalls, penalties and reputational harm;</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compliance with the extensive regulatory requirements to which we are subject, the related costs, and any failures to receive or maintain, or delays in receiving, required clearances or approvals;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adverse changes in industry trends;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competition we face;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market conditions and changes, including inflationary trends and the impact of tariffs, that impact our long-term supply contracts with variable price clauses and increase our cost of revenues;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business continuity hazards, including supply chain disruptions, federal government shutdowns, and other risks associated with our operations;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risks of doing business internationally, including global and regional economic and political instability and compliance with various applicable laws and potentially inconsistent laws and regulations in multiple jurisdictions;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ability to increase capacity at existing facilities, build new facilities in a timely and cost-effective manner and renew leases for our leased facilities;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ability to attract and retain qualified employees;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severe health events or environmental events;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cybersecurity incidents, unauthorized data disclosures, and our dependence on information technology (“IT”) systems;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risks associated with the introduction of artificial intelligence (“AI”) technology</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an inability to pursue strategic transactions, find suitable acquisition targets, or integrate strategic acquisitions into our business successfully;</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ability to maintain effective internal control over financial reporting;</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reliance on intellectual property rights to maintain our competitive position and the risk of claims from third parties that we have infringed or misappropriated, or are infringing or misappropriating, their intellectual property rights;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ability to comply with rapidly evolving data privacy and security laws and regulations in various jurisdictions and any ineffective compliance efforts with such laws and regulations;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ability to generate profitability in future periods;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impairment charges on our goodwill and other intangible assets with indefinite lives, as well as other long-lived assets and intangible assets with definite lives;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effects of unionization efforts and labor regulations in countries in which we operate;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adverse changes to our tax positions in U.S. or non-U.S. jurisdictions or the interpretation and application of U.S. tax legislation or other changes in U.S. or non-U.S. taxation of our operations;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significant degree of leverage and how this leverage could adversely affect our ability to raise additional capital, limit our ability to react to challenges facing our Company or broader changes in our industry or the economy, limit our flexibility in operating our business through restrictions contained in our debt agreements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27c953b2e3004595bc062f37867a09b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or prevent us from meeting our obligations under our existing and future agreements governing our indebtedness;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control that certain investment funds and entities affiliated with Warburg Pincus and GTCR, which we refer to collectively as the “Sponsors,” continue to have over us.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These forward-looking statements are based on current plans, estimates and projections, and therefore you should not place undue reliance on them. Forward-looking statements speak only as of the date they are made, and we undertake no obligation to update them publicly in light of new information or future events, except as required by law. The inclusion of this forward-looking information should not be regarded as a representation by us or any other person that the future plans, estimates or expectations contemplated by us will be achieved.</w:t>
      </w:r>
    </w:p>
    <w:p>
      <w:pPr>
        <w:pStyle w:val="TextBody"/>
        <w:bidi w:val="0"/>
        <w:spacing w:lineRule="auto" w:line="288" w:before="240" w:after="283"/>
        <w:jc w:val="left"/>
        <w:rPr/>
      </w:pPr>
      <w:r>
        <w:rPr>
          <w:rFonts w:ascii="Times New Roman;serif" w:hAnsi="Times New Roman;serif"/>
          <w:b w:val="false"/>
          <w:color w:val="000000"/>
          <w:sz w:val="20"/>
        </w:rPr>
        <w:t xml:space="preserve">You should carefully consider the above factors, as well as the factors discussed elsewhere in this Annual Report on Form 10-K, including under Part I, Item 1A, </w:t>
      </w:r>
      <w:r>
        <w:rPr>
          <w:color w:val="000000"/>
        </w:rPr>
        <w:t>“</w:t>
      </w:r>
      <w:r>
        <w:rPr>
          <w:rFonts w:ascii="Times New Roman;serif" w:hAnsi="Times New Roman;serif"/>
          <w:b w:val="false"/>
          <w:color w:val="000000"/>
          <w:sz w:val="20"/>
        </w:rPr>
        <w:t>Risk Factors</w:t>
      </w:r>
      <w:r>
        <w:rPr>
          <w:color w:val="000000"/>
        </w:rPr>
        <w:t>”</w:t>
      </w:r>
      <w:r>
        <w:rPr>
          <w:rFonts w:ascii="Times New Roman;serif" w:hAnsi="Times New Roman;serif"/>
          <w:b w:val="false"/>
          <w:color w:val="000000"/>
          <w:sz w:val="20"/>
        </w:rPr>
        <w:t>. If any of these trends, risks or uncertainties actually occur or continue, our business, financial condition or operating results could be materially adversely affected, the trading prices of our securities could decline and you could lose all or part of your investment. All forward-looking statements attributable to us or persons acting on our behalf are expressly qualified in their entirety by this cautionary statement.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Unless expressly indicated or the context requires otherwise, the terms “Sotera Health,” “Company,” “we,” “us,” and “our” in this Annual Report on Form 10-K refer to Sotera Health Company, a Delaware corporation, and, where appropriate, its subsidiaries on a consolidated basis.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27c953b2e3004595bc062f37867a09b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1. Business</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General Information</w:t>
      </w:r>
    </w:p>
    <w:p>
      <w:pPr>
        <w:pStyle w:val="TextBody"/>
        <w:bidi w:val="0"/>
        <w:spacing w:lineRule="auto" w:line="288" w:before="200" w:after="283"/>
        <w:jc w:val="left"/>
        <w:rPr/>
      </w:pPr>
      <w:r>
        <w:rPr>
          <w:rFonts w:ascii="Times New Roman;serif" w:hAnsi="Times New Roman;serif"/>
          <w:b w:val="false"/>
          <w:color w:val="000000"/>
          <w:sz w:val="20"/>
        </w:rPr>
        <w:t>We are a leading global provider of mission-critical end-to-end sterilization solutions, lab testing and advisory services for the healthcare industry. We are driven by our mission: Safeguarding Global Health</w:t>
      </w:r>
      <w:r>
        <w:rPr>
          <w:rFonts w:ascii="Times New Roman;serif" w:hAnsi="Times New Roman;serif"/>
          <w:b w:val="false"/>
          <w:color w:val="000000"/>
          <w:sz w:val="13"/>
        </w:rPr>
        <w:t>®</w:t>
      </w:r>
      <w:r>
        <w:rPr>
          <w:rFonts w:ascii="Times New Roman;serif" w:hAnsi="Times New Roman;serif"/>
          <w:b w:val="false"/>
          <w:color w:val="000000"/>
          <w:sz w:val="20"/>
        </w:rPr>
        <w:t xml:space="preserve">. We provide end-to-end sterilization as well as microbiological and analytical lab testing and advisory services to help ensure that medical, pharmaceutical and food products are safe for healthcare practitioners, patients and consumers in the United States and around the world. In 2025, our customers included over 40 of the top 50 medical device companies and nine of the top ten global pharmaceutical companies (based on revenue). Our services are an essential aspect of our customers’ manufacturing processes and supply chains, helping to ensure sterilized medical products reach healthcare practitioners and patients. Most of our services are necessary for our customers to satisfy applicable government requirements.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We are a trusted partner to customers in over 50 countries. We strive to give our customers confidence that their products meet regulatory, safety and effectiveness requirements. With our industry-recognized scientific and technological expertise, we help to ensure the safety of millions of patients and healthcare practitioners around the world. Across our 62 facilities worldwide, we have over 3,000 employees who are dedicated to safety and quality.</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Our Businesses</w:t>
      </w:r>
    </w:p>
    <w:p>
      <w:pPr>
        <w:pStyle w:val="TextBody"/>
        <w:bidi w:val="0"/>
        <w:spacing w:lineRule="auto" w:line="288" w:before="200" w:after="283"/>
        <w:jc w:val="left"/>
        <w:rPr>
          <w:rFonts w:ascii="Times New Roman;serif" w:hAnsi="Times New Roman;serif"/>
          <w:b/>
          <w:i/>
          <w:color w:val="000000"/>
          <w:sz w:val="20"/>
          <w:u w:val="single"/>
        </w:rPr>
      </w:pPr>
      <w:r>
        <w:rPr>
          <w:rFonts w:ascii="Times New Roman;serif" w:hAnsi="Times New Roman;serif"/>
          <w:b/>
          <w:i/>
          <w:color w:val="000000"/>
          <w:sz w:val="20"/>
          <w:u w:val="single"/>
        </w:rPr>
        <w:t>Sterilization Services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Our sterilization services business is comprised of Sterigenics and Nordion.</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Sterigenics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We are a leading global provider of outsourced terminal sterilization and irradiation services and have provided sterilization services for over 90 years. We offer a globally integrated platform for our customers in the medical device, pharmaceutical, food safety, and advanced applications markets, with facilities strategically located to be convenient to our customers’ manufacturing sites and distribution hubs or routes.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Terminal sterilization is the process of sterilizing a product in its final packaging; it is an essential, and often government-mandated, last step in the manufacturing process of healthcare products before they are shipped to end-users. The products that we sterilize include procedure kits and trays, implants, syringes, catheters, wound care products, medical protective barriers, including personal protective equipment (“PPE”), laboratory products and pharmaceuticals.</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Sterilization Services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offer our customers a complete range of terminal sterilization services, primarily using the three major commercial terminal sterilization technologies: gamma irradiation, EO processing and E-beam irradiation. We continue to invest in and develop our capabilities and our current methods of sterilization and we continue to explore new alternative modalities and technologies.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We provide gamma irradiation services at 23 of our facilities, EO processing services at 17 of our facilities and electron beam (“E-beam”) irradiation services at eight of our facilities.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We also invest in alternative modalities to serve our customers. X-ray irradiation is a process in which products, such as medical devices and labware, are exposed to machine-generated radiation in the form of X-rays for the purpose of sterilization and decontamination. Final qualification is currently underway for a new X-Ray facility adjacent to an existing gamma facility. We are also investing in NO2-based sterilization and other technologies, which have been effective in the sterilization of prefilled syringes, drug-device combination products and custom implants.</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Sterilization Applications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Sterigenics primarily provides sterilization services for medical device manufacturers and the pharmaceutical industry and also provides microbial reduction services for the food industry. Additionally, Sterigenics provides various advanced applications for other organizations and companies, including the USPS and semiconductor manufacturers. Our customers determine the sterilization method that meets the needs of their products and requirements of regulators and we deliver sterilization services according to their customer-specific protocols. In most cases, customers are serviced by more than one facility.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27c953b2e3004595bc062f37867a09b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u w:val="single"/>
        </w:rPr>
        <w:t>Medical device sterilization</w:t>
      </w:r>
      <w:r>
        <w:rPr>
          <w:rFonts w:ascii="Times New Roman;serif" w:hAnsi="Times New Roman;serif"/>
          <w:b w:val="false"/>
          <w:color w:val="000000"/>
          <w:sz w:val="20"/>
        </w:rPr>
        <w:t xml:space="preserve">. Medical device sterilization is a regulatory requirement in many jurisdictions and an important and last step performed prior to clinical use for many healthcare products such as procedure kits and trays, implants, syringes, catheters, wound care products and medical protective barriers including PPE. </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u w:val="single"/>
        </w:rPr>
        <w:t>Pharmaceuticals</w:t>
      </w:r>
      <w:r>
        <w:rPr>
          <w:rFonts w:ascii="Times New Roman;serif" w:hAnsi="Times New Roman;serif"/>
          <w:b w:val="false"/>
          <w:color w:val="000000"/>
          <w:sz w:val="20"/>
        </w:rPr>
        <w:t>. We provide comprehensive outsourced terminal sterilization solutions to help our customers in the pharmaceutical industry meet regulatory requirements. Our sterilization expertise covers a variety of pharmaceutical drug products, such as active pharmaceutical ingredients, pre-filled syringes, drug components, excipients and primary packaging and components.</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u w:val="single"/>
        </w:rPr>
        <w:t>Food and agricultural products</w:t>
      </w:r>
      <w:r>
        <w:rPr>
          <w:rFonts w:ascii="Times New Roman;serif" w:hAnsi="Times New Roman;serif"/>
          <w:b w:val="false"/>
          <w:color w:val="000000"/>
          <w:sz w:val="20"/>
        </w:rPr>
        <w:t xml:space="preserve">. We provide microbial reduction and microbial remediation services for food and agricultural products. Generally, in a microbial reduction process, products are exposed to lower levels of treatment than in a sterilization process. This process is not intended to render a product free of viable organisms but rather to reduce their number. </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u w:val="single"/>
        </w:rPr>
        <w:t>Commercial, advanced and specialty applications</w:t>
      </w:r>
      <w:r>
        <w:rPr>
          <w:rFonts w:ascii="Times New Roman;serif" w:hAnsi="Times New Roman;serif"/>
          <w:b w:val="false"/>
          <w:color w:val="000000"/>
          <w:sz w:val="20"/>
        </w:rPr>
        <w:t xml:space="preserve">. We provide a wide range of advanced applications services for industrial materials to customers that use ionizing radiation to modify materials or products. The advanced applications sterilization industry is comprised of a large number of distinct segments that can be addressed using our services for radiation processing. Materials that undergo advanced application processes include products such as power semiconductors, polymers and gemstones. </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Sterigenics Customers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Sterigenics serves more than 2,000 customers in industries ranging from medical device and healthcare products, pharmaceuticals, food and agricultural products as well as advanced commercial materials. We follow extensive validation procedures with our customers to determine the optimal sterilization method for each product and to validate that the chosen method will achieve the sterility requirement for that product. Once a sterilization process has been validated, we adhere to our customers’ process specifications to treat their product.</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Sterigenics has achieved high historical customer retention and renewal rates—Sterigenics has 100% renewal rates of its top ten customers for more than five consecutive years, and an average tenure of over a decade with its top 25 customers over the last five years—and minimal customer concentration, as no single customer accounted for more than 10% of our total revenues. We have also introduced innovative, advanced processing systems for outsourced sterilization that are designed to enhance operating efficiencies, improve turnaround times and provide for greater processing flexibility without sacrificing quality, consistency or reliability. More than 90% of Sterigenics’ revenues for the year ended December 31, 2025 were from customers under multi-year contracts.</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Sterigenics Competition</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We compete globally with Applied Sterilization Technologies, a segment of STERIS plc, as well as other smaller or regional outsourced sterilization companies. In addition, some manufacturers have invested or are investing in in-house sterilization capabilities. We also face competition from other technologies. Our services generally compete on the basis of the quality of technology and services offered, level of expertise in each of the major sterilization methods, level of expertise in the applicable regulatory requirements, proximity to customers and the cost of services.</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Sterigenics Suppliers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Sterigenics primarily purchases its supply of Co-60 sources, the key input into the gamma sterilization process, from Nordion. Our supply of EO is sourced from various suppliers around the world. There is more than one supplier of EO in most of the countries in which we operate; however, in the United States, there is a single supplier for EO to our industry. We have not historically experienced any supply disruptions, and our U.S. supplier has redundant production facilities to help ensure reliable EO supply. We also have a license in the United States to distribute EO to self-supply should the need arise and we determine the need to make the necessary investments.</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Sterigenics Facilities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With 48 facilities in 13 countries, our global network of sterilization facilities represents a significant competitive advantage. We serve many of our sterilization customers at more than one facility. Our global facility network, built and expanded over several decades, is strategically located convenient to customers’ manufacturing sites and distribution hubs or routes. Extensive capital, technical expertise and regulatory knowledge are required to build and maintain our facilities. We estimate that building a new facility to cost over $50 million and the cost may vary depending on sterilization modality, in addition to requiring extensive and complex licensing approval and regulatory compliance processes.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27c953b2e3004595bc062f37867a09b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By leveraging a global operating system, we drive operational excellence across our network of facilities to achieve high levels of safety, quality, operating efficiency and customer satisfaction to provide a uniform customer experience. Most of our facilities are either International Organization for Standardization (“ISO”) 13485 certified, ISO 9001 certified, or both, as well as licensed and registered in all necessary jurisdictions to comply with government required regulations.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Nordion</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Nordion is the leading global provider of Co-60 used in sterilization and irradiation processes for the medical device, pharmaceutical, food safety, and high-performance materials industries, as well as in the treatment of cancer. Co-60 is a radioactive isotope that emits gamma radiation that sterilizes items by killing contaminating micro-organisms. In addition, Nordion is a leading global provider of gamma irradiation systems, which are the units that house the Co-60 sources within a gamma sterilization facility. We estimate that gamma sterilization, which is a critical component of the global infection control supply chain, accounts for approximately 30% of single-use medical device sterilization worldwide. Nordion’s customers include outsourced contract sterilizers, including Sterigenics, medical device manufacturers that sterilize their products in-house and other specialized medical device manufacturers. Approximately 90% of Nordion’s revenues for the year ended December 31, 2025 were from customers under multi-year contracts.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We provide our customers with high quality, reliable, safe and secure Co-60 source supply at each stage of the source’s life cycle. We support our customers with handling and processing of Co-60, recycling of depleted sources and global logistics enabled by our licensed container fleet. We also provide regulatory and technical service expertise to improve the risk profiles and enhance effectiveness of gamma processing operations. Without this radioactive material, gamma sterilization would not be possible on the global scale at which it is used today. We are integral to our customers’ operations due to highly coordinated and complex installation processes.</w:t>
      </w:r>
    </w:p>
    <w:p>
      <w:pPr>
        <w:pStyle w:val="TextBody"/>
        <w:bidi w:val="0"/>
        <w:spacing w:lineRule="auto" w:line="288" w:before="200" w:after="283"/>
        <w:jc w:val="left"/>
        <w:rPr/>
      </w:pPr>
      <w:r>
        <w:rPr>
          <w:rFonts w:ascii="Times New Roman;serif" w:hAnsi="Times New Roman;serif"/>
          <w:b w:val="false"/>
          <w:color w:val="000000"/>
          <w:sz w:val="20"/>
        </w:rPr>
        <w:t>Nordion has a long history in gamma technologies. Nordion designs, installs and maintains gamma irradiation systems. Nordion developed the first Co-60 based tele-therapy unit for cancer treatment in 1951 and the first panoramic irradiator in 1964. In addition to selling Co-60 sources for sterilization purposes, Nordion also sells high specific activity Co-60 (“HSA Co-60” or “medical Co-60”) used in stereotactic radiosurgery as a radiation source for oncology applications, specifically in Gamma Knife</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and other similar applications. Today, Co-60 is a critical part of treatment for brain and other cancers because it is noninvasive, reliable, effective and safe to use.</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Co-60 Production Process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Nordion’s primary product is Co-60 sources. Co-60 is a radioactive isotope used in radiation sterilization that decays naturally at a rate of approximately 12% annually. Co-60 is produced by placing cobalt-59 (“Co-59”), the most common form of cobalt, into a nuclear power reactor to be activated.</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Co-60 production process requires high purity Co-59. Co-59 is produced globally, primarily as a byproduct of nickel and copper mining, and used in a variety of industrial applications. The Co-59 used for sterilization accounts for a small portion of overall Co-59 demand. Co-59 is compressed into “targets,” which are pellets and slugs suitable to be activated into Co-60. These targets are then encapsulated and delivered to be installed in nuclear reactors. Depending on the type of reactor and the location of the Co-59 in the reactor, the conversion process can take between 18 months to five years. Once the conversion to Co-60 is complete, the targets are extracted from the nuclear reactor, often while the reactor is shut down and shipped to Nordion to be processed into Co-60 sources to be sold to customers.</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Nordion Products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Co-60 is sold to customers by its level of radioactivity as measured in curies. Our customers typically buy low specific activity Co-60 (“LSA Co-60”) for industrial sterilization use and HSA Co-60 for medical use. At our Ottawa facility, we receive and process the targets to form the final Co-60 source product with the desired amount of radioactivity for each customer order. The Co-60 sources undergo stringent and sophisticated quality assurance testing at our Ottawa facility. The final product is then placed in specialized containers, which Nordion uses to transport Co-60 to our customers.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We transport the Co-60 sources via proprietary lead and steel containers that are licensed to meet all applicable international shipping requirements. We believe we have the most extensive expertise in Co-60 logistics. There is a significant regulatory burden in the production, management and transportation of fleets of containers of Co-60 sources. Our transportation routes and carriers are highly controlled, and we provide regular and comprehensive training for employees and carriers who are involved in moving the Co-60 globally.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27c953b2e3004595bc062f37867a09b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We also design, install and maintain gamma irradiation systems, which include radiation shielding, a series of conveyors and control systems that are designed to expose products to the correct gamma radiation dosage in a safe and efficient manner. A gamma irradiation system is the infrastructure that houses the Co-60 sources and makes up a part of a sterilization and warehousing facility. There are over 200 large scale irradiation systems active globally, with over 120 of them built by Nordion. Our installation, physics and engineering teams are comprised of highly trained professionals who provide fast and ongoing technical support from source installation to emergency response.</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We also offer our customers a for-fee spent Co-60 source return service for depleted Co-60 sources that have reached the end of their useful life, which is often 20 or more years. We also have a source recycling program that extends the useful life of individual slugs from the decayed product up to an additional 20 years, pairing them with new slugs to make new Co-60 sources.</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Nuclear Reactor Operators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Given the timeline required to produce Co-60, forecasting supply and working closely with nuclear power reactor operators to manage the amount and timing of shipments represents an important business capability of Nordion.</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amount of Co-60 supply is ultimately determined by the number of nuclear reactors that are capable of producing Co-60 at a given point in time. Our access to Co-60 tends to vary on a quarterly basis, due primarily to nuclear reactor maintenance schedules, the length of time required to convert Co-59 into Co-60, the limited number of facilities that can generate Co-60 in an economically efficient manner, and the timing of the removal of Co-60 from reactors. While short-term variability in Co-60 supplier delivery timing can sometimes result in variability in our financial performance across fiscal quarters, we work with multiple reactor sites that operate on consistent and predictable discharge and harvest schedules over the long-term.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Nordion currently has access to Co-60 supply at multiple nuclear reactors pursuant to multi-year contracts with three operators that cover 13 reactors at five generating stations, that extend to dates between 2026 and 2064, with our largest supplier under contract until 2064. The substantial majority of our Co-60 material has historically been produced under multi-year contracts with nuclear reactor operators in Canada and Russia. Nordion provides Co-59 targets to its Canadian and Russian reactor suppliers, manufactured to proprietary specifications customized for each supplier. We also acquire a portion of our Co-60 supply from reactors that produce Co-60 in Argentina, China and India.</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vertical integration of Nordion and Sterigenics has allowed us to more confidently make meaningful long-term investments to expand Co-60 supply for the medical products sterilization industry. Nordion has partnered with Westinghouse Electric Company to develop technology for production of Co-60 in Pressurized Water reactors, and recently announced that PSEG will be the first utility to produce Co-60 in the U.S. The program has the ability to scale to more reactors in the U.S. and abroad, further increasing the robustness and reliability of the global supply chain. In addition, Nordion has made a significant investment in implementing Co-60 production capability at the Darlington reactors in Ontario, a project which is nearing completion.</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Nordion Customers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Nordion primarily serves medical device manufacturers and gamma sterilization service providers. We are integral to our customers’ operations due to highly coordinated and complex installation and service processes that require expertise in handling and shipping radioactive material as well as our deep knowledge of the relevant regulatory and compliance requirements. Customer relationships are typically governed by multi-year supply agreements.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One of Nordion’s customers is Sterigenics, which competes with several of Nordion’s other gamma sterilization service customers. When we acquired Nordion in 2014, we established information barriers between Nordion and Sterigenics with regard to certain customer information, which remain in place today, and certain of our agreements with Nordion’s customers require that we maintain these barriers. These barriers prohibit us from managing a customer pricing strategy across our Sterigenics and Nordion segments.</w:t>
      </w:r>
    </w:p>
    <w:p>
      <w:pPr>
        <w:pStyle w:val="TextBody"/>
        <w:bidi w:val="0"/>
        <w:spacing w:lineRule="auto" w:line="288" w:before="200" w:after="283"/>
        <w:jc w:val="left"/>
        <w:rPr/>
      </w:pPr>
      <w:r>
        <w:rPr>
          <w:rFonts w:ascii="Times New Roman;serif" w:hAnsi="Times New Roman;serif"/>
          <w:b w:val="false"/>
          <w:color w:val="000000"/>
          <w:sz w:val="20"/>
        </w:rPr>
        <w:t>We are a leading global supplier of HSA Co-60 used in oncology-related stereotactic radiosurgery devices, including the Gamma Knife</w:t>
      </w:r>
      <w:r>
        <w:rPr>
          <w:rFonts w:ascii="Times New Roman;serif" w:hAnsi="Times New Roman;serif"/>
          <w:b w:val="false"/>
          <w:color w:val="000000"/>
          <w:sz w:val="13"/>
        </w:rPr>
        <w:t>®</w:t>
      </w:r>
      <w:r>
        <w:rPr>
          <w:rFonts w:ascii="Times New Roman;serif" w:hAnsi="Times New Roman;serif"/>
          <w:b w:val="false"/>
          <w:color w:val="000000"/>
          <w:sz w:val="20"/>
        </w:rPr>
        <w:t>, which use directed gamma rays for certain oncology applications. We also supply other medical equipment manufacturers and sub-contractors in the industry who require the concentrated radiation dose capabilities of HSA Co-60.</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Nordion Competition</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Nordion’s competitors in Argentina, India and Russia operate primarily in domestic markets, with a smaller portion of their production being exported, usually to countries in close proximity. The competitor in Russia has historically supplied markets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27c953b2e3004595bc062f37867a09b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in China and Europe, but has faced export challenges in recent years given the current geopolitical situation. These competitors could potentially increase their production capacity in the future, though not without significant capital investment. Nordion also competes indirectly with other developing modalities of sterilization, such as X-ray technology, which uses electricity to generate radiation and therefore does not require Co-60 sources. Nordion’s main competitors in the HSA Co-60 industry include suppliers in China, Sweden and North America that have the capability to produce medical Co-60 sources with cobalt supplied by any of the cobalt-producing countries.</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Nordion Facilities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Nordion’s operations are supported by a facility in Kanata, Canada dedicated to processing and shipping cobalt, and a European distribution facility in Milton, United Kingdom.</w:t>
      </w:r>
    </w:p>
    <w:p>
      <w:pPr>
        <w:pStyle w:val="TextBody"/>
        <w:bidi w:val="0"/>
        <w:spacing w:lineRule="auto" w:line="288" w:before="200" w:after="283"/>
        <w:jc w:val="left"/>
        <w:rPr>
          <w:rFonts w:ascii="Times New Roman;serif" w:hAnsi="Times New Roman;serif"/>
          <w:b/>
          <w:i/>
          <w:color w:val="000000"/>
          <w:sz w:val="20"/>
          <w:u w:val="single"/>
        </w:rPr>
      </w:pPr>
      <w:r>
        <w:rPr>
          <w:rFonts w:ascii="Times New Roman;serif" w:hAnsi="Times New Roman;serif"/>
          <w:b/>
          <w:i/>
          <w:color w:val="000000"/>
          <w:sz w:val="20"/>
          <w:u w:val="single"/>
        </w:rPr>
        <w:t>Lab Testing and Advisory Services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Nelson Labs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Nelson Labs is a global leader in outsourced microbiological and analytical chemistry testing services for the medical device and pharmaceutical industries. Lab testing and advisory services are necessary across the medical device and pharmaceutical product lifecycles to evaluate and ensure the safety and effectiveness of healthcare products. In addition to our testing services, our customers often call upon our experts for technical assistance, regulatory consulting and our advisory services. Nelson Labs is seen as a critical partner for our customers through our delivery of high-quality services, quick testing turnaround times, responsiveness, high-touch support and easy accessibility to our science and service teams.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Our microbiology and analytical chemistry services include over 900 tests. We also provide for-fee advisory services that position us as thought leaders in the industry and increase the demand for our testing offerings. These can be categorized into three broad categories that address different stages of customers’ product lifecycle:</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u w:val="single"/>
        </w:rPr>
        <w:t>Product Development and Validation</w:t>
      </w:r>
      <w:r>
        <w:rPr>
          <w:rFonts w:ascii="Times New Roman;serif" w:hAnsi="Times New Roman;serif"/>
          <w:b w:val="false"/>
          <w:color w:val="000000"/>
          <w:sz w:val="20"/>
        </w:rPr>
        <w:t>. Prior to a new medical product or alteration to an existing product being submitted for regulatory approval, Nelson Labs provides a variety of tests to customers during the research and development stage. These include tests that assist the client in:</w:t>
      </w:r>
    </w:p>
    <w:tbl>
      <w:tblPr>
        <w:tblW w:w="10205" w:type="dxa"/>
        <w:jc w:val="left"/>
        <w:tblInd w:w="0" w:type="dxa"/>
        <w:tblLayout w:type="fixed"/>
        <w:tblCellMar>
          <w:top w:w="28" w:type="dxa"/>
          <w:left w:w="28" w:type="dxa"/>
          <w:bottom w:w="28" w:type="dxa"/>
          <w:right w:w="28" w:type="dxa"/>
        </w:tblCellMar>
      </w:tblPr>
      <w:tblGrid>
        <w:gridCol w:w="1219"/>
        <w:gridCol w:w="1069"/>
        <w:gridCol w:w="1076"/>
        <w:gridCol w:w="1997"/>
        <w:gridCol w:w="1997"/>
        <w:gridCol w:w="2847"/>
      </w:tblGrid>
      <w:tr>
        <w:trPr/>
        <w:tc>
          <w:tcPr>
            <w:tcW w:w="1219"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1997" w:type="dxa"/>
            <w:tcBorders/>
            <w:vAlign w:val="center"/>
          </w:tcPr>
          <w:p>
            <w:pPr>
              <w:pStyle w:val="TableContents"/>
              <w:bidi w:val="0"/>
              <w:spacing w:before="0" w:after="283"/>
              <w:jc w:val="left"/>
              <w:rPr>
                <w:sz w:val="4"/>
                <w:szCs w:val="4"/>
              </w:rPr>
            </w:pPr>
            <w:r>
              <w:rPr>
                <w:sz w:val="4"/>
                <w:szCs w:val="4"/>
              </w:rPr>
            </w:r>
          </w:p>
        </w:tc>
        <w:tc>
          <w:tcPr>
            <w:tcW w:w="1997" w:type="dxa"/>
            <w:tcBorders/>
            <w:vAlign w:val="center"/>
          </w:tcPr>
          <w:p>
            <w:pPr>
              <w:pStyle w:val="TableContents"/>
              <w:bidi w:val="0"/>
              <w:spacing w:before="0" w:after="283"/>
              <w:jc w:val="left"/>
              <w:rPr>
                <w:sz w:val="4"/>
                <w:szCs w:val="4"/>
              </w:rPr>
            </w:pPr>
            <w:r>
              <w:rPr>
                <w:sz w:val="4"/>
                <w:szCs w:val="4"/>
              </w:rPr>
            </w:r>
          </w:p>
        </w:tc>
        <w:tc>
          <w:tcPr>
            <w:tcW w:w="2847" w:type="dxa"/>
            <w:tcBorders/>
            <w:vAlign w:val="center"/>
          </w:tcPr>
          <w:p>
            <w:pPr>
              <w:pStyle w:val="TableContents"/>
              <w:bidi w:val="0"/>
              <w:spacing w:before="0" w:after="283"/>
              <w:jc w:val="left"/>
              <w:rPr>
                <w:sz w:val="4"/>
                <w:szCs w:val="4"/>
              </w:rPr>
            </w:pPr>
            <w:r>
              <w:rPr>
                <w:sz w:val="4"/>
                <w:szCs w:val="4"/>
              </w:rPr>
            </w:r>
          </w:p>
        </w:tc>
      </w:tr>
      <w:tr>
        <w:trPr/>
        <w:tc>
          <w:tcPr>
            <w:tcW w:w="3364" w:type="dxa"/>
            <w:gridSpan w:val="3"/>
            <w:tcBorders/>
            <w:tcMar>
              <w:top w:w="0" w:type="dxa"/>
              <w:left w:w="0" w:type="dxa"/>
              <w:bottom w:w="0" w:type="dxa"/>
              <w:right w:w="0" w:type="dxa"/>
            </w:tcMar>
            <w:vAlign w:val="center"/>
          </w:tcPr>
          <w:p>
            <w:pPr>
              <w:pStyle w:val="TableContents"/>
              <w:bidi w:val="0"/>
              <w:spacing w:lineRule="auto" w:line="288" w:before="0" w:after="0"/>
              <w:ind w:left="0" w:right="0" w:hanging="360"/>
              <w:jc w:val="left"/>
              <w:rPr/>
            </w:pPr>
            <w:r>
              <w:rPr>
                <w:color w:val="000000"/>
              </w:rPr>
              <w:t>◦ </w:t>
            </w:r>
            <w:r>
              <w:rPr>
                <w:rFonts w:ascii="Times New Roman;serif" w:hAnsi="Times New Roman;serif"/>
                <w:b w:val="false"/>
                <w:color w:val="000000"/>
                <w:sz w:val="20"/>
              </w:rPr>
              <w:t>Product design</w:t>
            </w:r>
          </w:p>
          <w:p>
            <w:pPr>
              <w:pStyle w:val="TableContents"/>
              <w:bidi w:val="0"/>
              <w:spacing w:lineRule="auto" w:line="288" w:before="0" w:after="0"/>
              <w:ind w:left="0" w:right="0" w:hanging="360"/>
              <w:jc w:val="left"/>
              <w:rPr/>
            </w:pPr>
            <w:r>
              <w:rPr>
                <w:color w:val="000000"/>
              </w:rPr>
              <w:t>◦</w:t>
            </w:r>
            <w:r>
              <w:rPr>
                <w:rFonts w:ascii="Times New Roman;serif" w:hAnsi="Times New Roman;serif"/>
                <w:b w:val="false"/>
                <w:color w:val="000000"/>
                <w:sz w:val="20"/>
              </w:rPr>
              <w:t>Material selection</w:t>
            </w:r>
          </w:p>
          <w:p>
            <w:pPr>
              <w:pStyle w:val="TableContents"/>
              <w:bidi w:val="0"/>
              <w:spacing w:lineRule="auto" w:line="288" w:before="0" w:after="0"/>
              <w:ind w:left="0" w:right="0" w:hanging="360"/>
              <w:jc w:val="left"/>
              <w:rPr/>
            </w:pPr>
            <w:r>
              <w:rPr>
                <w:color w:val="000000"/>
              </w:rPr>
              <w:t>◦</w:t>
            </w:r>
            <w:r>
              <w:rPr>
                <w:rFonts w:ascii="Times New Roman;serif" w:hAnsi="Times New Roman;serif"/>
                <w:b w:val="false"/>
                <w:color w:val="000000"/>
                <w:sz w:val="20"/>
              </w:rPr>
              <w:t>Biological safety evaluation</w:t>
            </w:r>
          </w:p>
          <w:p>
            <w:pPr>
              <w:pStyle w:val="TableContents"/>
              <w:bidi w:val="0"/>
              <w:spacing w:lineRule="auto" w:line="288" w:before="0" w:after="0"/>
              <w:ind w:left="0" w:right="0" w:hanging="360"/>
              <w:jc w:val="left"/>
              <w:rPr/>
            </w:pPr>
            <w:r>
              <w:rPr>
                <w:color w:val="000000"/>
              </w:rPr>
              <w:t>◦</w:t>
            </w:r>
            <w:r>
              <w:rPr>
                <w:rFonts w:ascii="Times New Roman;serif" w:hAnsi="Times New Roman;serif"/>
                <w:b w:val="false"/>
                <w:color w:val="000000"/>
                <w:sz w:val="20"/>
              </w:rPr>
              <w:t>Toxicological risk assessment</w:t>
            </w:r>
          </w:p>
          <w:p>
            <w:pPr>
              <w:pStyle w:val="TableContents"/>
              <w:bidi w:val="0"/>
              <w:spacing w:lineRule="auto" w:line="288" w:before="0" w:after="0"/>
              <w:ind w:left="0" w:right="0" w:hanging="360"/>
              <w:jc w:val="left"/>
              <w:rPr/>
            </w:pPr>
            <w:r>
              <w:rPr>
                <w:color w:val="000000"/>
              </w:rPr>
              <w:t>◦</w:t>
            </w:r>
            <w:r>
              <w:rPr>
                <w:rFonts w:ascii="Times New Roman;serif" w:hAnsi="Times New Roman;serif"/>
                <w:b w:val="false"/>
                <w:color w:val="000000"/>
                <w:sz w:val="20"/>
              </w:rPr>
              <w:t>Sterilization modality selection and sterilization validation</w:t>
            </w:r>
          </w:p>
        </w:tc>
        <w:tc>
          <w:tcPr>
            <w:tcW w:w="6841" w:type="dxa"/>
            <w:gridSpan w:val="3"/>
            <w:tcBorders/>
            <w:tcMar>
              <w:top w:w="0" w:type="dxa"/>
              <w:left w:w="0" w:type="dxa"/>
              <w:bottom w:w="0" w:type="dxa"/>
              <w:right w:w="0" w:type="dxa"/>
            </w:tcMar>
            <w:vAlign w:val="center"/>
          </w:tcPr>
          <w:p>
            <w:pPr>
              <w:pStyle w:val="TableContents"/>
              <w:bidi w:val="0"/>
              <w:spacing w:lineRule="auto" w:line="288" w:before="0" w:after="0"/>
              <w:ind w:left="0" w:right="0" w:hanging="360"/>
              <w:jc w:val="left"/>
              <w:rPr/>
            </w:pPr>
            <w:r>
              <w:rPr>
                <w:color w:val="000000"/>
              </w:rPr>
              <w:t>◦</w:t>
            </w:r>
            <w:r>
              <w:rPr>
                <w:rFonts w:ascii="Times New Roman;serif" w:hAnsi="Times New Roman;serif"/>
                <w:b w:val="false"/>
                <w:color w:val="000000"/>
                <w:sz w:val="20"/>
              </w:rPr>
              <w:t>Cleaning and disinfection validation (for reusable devices)</w:t>
            </w:r>
          </w:p>
          <w:p>
            <w:pPr>
              <w:pStyle w:val="TableContents"/>
              <w:bidi w:val="0"/>
              <w:spacing w:lineRule="auto" w:line="288" w:before="0" w:after="0"/>
              <w:ind w:left="0" w:right="0" w:hanging="360"/>
              <w:jc w:val="left"/>
              <w:rPr/>
            </w:pPr>
            <w:r>
              <w:rPr>
                <w:color w:val="000000"/>
              </w:rPr>
              <w:t>◦</w:t>
            </w:r>
            <w:r>
              <w:rPr>
                <w:rFonts w:ascii="Times New Roman;serif" w:hAnsi="Times New Roman;serif"/>
                <w:b w:val="false"/>
                <w:color w:val="000000"/>
                <w:sz w:val="20"/>
              </w:rPr>
              <w:t>Package barrier properties</w:t>
            </w:r>
          </w:p>
          <w:p>
            <w:pPr>
              <w:pStyle w:val="TableContents"/>
              <w:bidi w:val="0"/>
              <w:spacing w:lineRule="auto" w:line="288" w:before="0" w:after="0"/>
              <w:ind w:left="0" w:right="0" w:hanging="360"/>
              <w:jc w:val="left"/>
              <w:rPr/>
            </w:pPr>
            <w:r>
              <w:rPr>
                <w:color w:val="000000"/>
              </w:rPr>
              <w:t>◦</w:t>
            </w:r>
            <w:r>
              <w:rPr>
                <w:rFonts w:ascii="Times New Roman;serif" w:hAnsi="Times New Roman;serif"/>
                <w:b w:val="false"/>
                <w:color w:val="000000"/>
                <w:sz w:val="20"/>
              </w:rPr>
              <w:t>Distribution simulation</w:t>
            </w:r>
          </w:p>
          <w:p>
            <w:pPr>
              <w:pStyle w:val="TableContents"/>
              <w:bidi w:val="0"/>
              <w:spacing w:lineRule="auto" w:line="288" w:before="0" w:after="0"/>
              <w:ind w:left="0" w:right="0" w:hanging="360"/>
              <w:jc w:val="left"/>
              <w:rPr/>
            </w:pPr>
            <w:r>
              <w:rPr>
                <w:color w:val="000000"/>
              </w:rPr>
              <w:t>◦</w:t>
            </w:r>
            <w:r>
              <w:rPr>
                <w:rFonts w:ascii="Times New Roman;serif" w:hAnsi="Times New Roman;serif"/>
                <w:b w:val="false"/>
                <w:color w:val="000000"/>
                <w:sz w:val="20"/>
              </w:rPr>
              <w:t>Filtration efficiency and physical functionality of PPE (including surgical facemasks, N95 respirators, gowns, drapes and other PPE)</w:t>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We provide sterilization modality selection and sterilization validation services for a variety of sterilization modalities, including the three major modalities offered by Sterigenics—gamma irradiation, EO processing and E-beam—allowing us to serve our customers in multiple areas.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u w:val="single"/>
        </w:rPr>
        <w:t>Expert Advisory</w:t>
      </w:r>
      <w:r>
        <w:rPr>
          <w:rFonts w:ascii="Times New Roman;serif" w:hAnsi="Times New Roman;serif"/>
          <w:b w:val="false"/>
          <w:color w:val="000000"/>
          <w:sz w:val="20"/>
        </w:rPr>
        <w:t>. Bringing a medical product or drug to market can be a long and complex process, especially in the context of constantly evolving standards in a changing regulatory environment. Nelson Labs provides expert advisory services to aid customers in navigating the appropriate standards and regulatory environments. These services include:</w:t>
      </w:r>
    </w:p>
    <w:tbl>
      <w:tblPr>
        <w:tblW w:w="10205" w:type="dxa"/>
        <w:jc w:val="left"/>
        <w:tblInd w:w="0" w:type="dxa"/>
        <w:tblLayout w:type="fixed"/>
        <w:tblCellMar>
          <w:top w:w="28" w:type="dxa"/>
          <w:left w:w="28" w:type="dxa"/>
          <w:bottom w:w="28" w:type="dxa"/>
          <w:right w:w="28" w:type="dxa"/>
        </w:tblCellMar>
      </w:tblPr>
      <w:tblGrid>
        <w:gridCol w:w="1221"/>
        <w:gridCol w:w="1071"/>
        <w:gridCol w:w="1080"/>
        <w:gridCol w:w="2000"/>
        <w:gridCol w:w="2000"/>
        <w:gridCol w:w="2833"/>
      </w:tblGrid>
      <w:tr>
        <w:trPr/>
        <w:tc>
          <w:tcPr>
            <w:tcW w:w="1221"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2000" w:type="dxa"/>
            <w:tcBorders/>
            <w:vAlign w:val="center"/>
          </w:tcPr>
          <w:p>
            <w:pPr>
              <w:pStyle w:val="TableContents"/>
              <w:bidi w:val="0"/>
              <w:spacing w:before="0" w:after="283"/>
              <w:jc w:val="left"/>
              <w:rPr>
                <w:sz w:val="4"/>
                <w:szCs w:val="4"/>
              </w:rPr>
            </w:pPr>
            <w:r>
              <w:rPr>
                <w:sz w:val="4"/>
                <w:szCs w:val="4"/>
              </w:rPr>
            </w:r>
          </w:p>
        </w:tc>
        <w:tc>
          <w:tcPr>
            <w:tcW w:w="2000" w:type="dxa"/>
            <w:tcBorders/>
            <w:vAlign w:val="center"/>
          </w:tcPr>
          <w:p>
            <w:pPr>
              <w:pStyle w:val="TableContents"/>
              <w:bidi w:val="0"/>
              <w:spacing w:before="0" w:after="283"/>
              <w:jc w:val="left"/>
              <w:rPr>
                <w:sz w:val="4"/>
                <w:szCs w:val="4"/>
              </w:rPr>
            </w:pPr>
            <w:r>
              <w:rPr>
                <w:sz w:val="4"/>
                <w:szCs w:val="4"/>
              </w:rPr>
            </w:r>
          </w:p>
        </w:tc>
        <w:tc>
          <w:tcPr>
            <w:tcW w:w="2833" w:type="dxa"/>
            <w:tcBorders/>
            <w:vAlign w:val="center"/>
          </w:tcPr>
          <w:p>
            <w:pPr>
              <w:pStyle w:val="TableContents"/>
              <w:bidi w:val="0"/>
              <w:spacing w:before="0" w:after="283"/>
              <w:jc w:val="left"/>
              <w:rPr>
                <w:sz w:val="4"/>
                <w:szCs w:val="4"/>
              </w:rPr>
            </w:pPr>
            <w:r>
              <w:rPr>
                <w:sz w:val="4"/>
                <w:szCs w:val="4"/>
              </w:rPr>
            </w:r>
          </w:p>
        </w:tc>
      </w:tr>
      <w:tr>
        <w:trPr/>
        <w:tc>
          <w:tcPr>
            <w:tcW w:w="3372" w:type="dxa"/>
            <w:gridSpan w:val="3"/>
            <w:tcBorders/>
            <w:tcMar>
              <w:top w:w="0" w:type="dxa"/>
              <w:left w:w="0" w:type="dxa"/>
              <w:bottom w:w="0" w:type="dxa"/>
              <w:right w:w="0" w:type="dxa"/>
            </w:tcMar>
            <w:vAlign w:val="center"/>
          </w:tcPr>
          <w:p>
            <w:pPr>
              <w:pStyle w:val="TableContents"/>
              <w:bidi w:val="0"/>
              <w:spacing w:lineRule="auto" w:line="288" w:before="0" w:after="0"/>
              <w:ind w:left="0" w:right="0" w:hanging="360"/>
              <w:jc w:val="left"/>
              <w:rPr/>
            </w:pPr>
            <w:r>
              <w:rPr>
                <w:color w:val="000000"/>
              </w:rPr>
              <w:t>◦ </w:t>
            </w:r>
            <w:r>
              <w:rPr>
                <w:rFonts w:ascii="Times New Roman;serif" w:hAnsi="Times New Roman;serif"/>
                <w:b w:val="false"/>
                <w:color w:val="000000"/>
                <w:sz w:val="20"/>
              </w:rPr>
              <w:t>Study design</w:t>
            </w:r>
          </w:p>
          <w:p>
            <w:pPr>
              <w:pStyle w:val="TableContents"/>
              <w:bidi w:val="0"/>
              <w:spacing w:lineRule="auto" w:line="288" w:before="0" w:after="0"/>
              <w:ind w:left="0" w:right="0" w:hanging="360"/>
              <w:jc w:val="left"/>
              <w:rPr/>
            </w:pPr>
            <w:r>
              <w:rPr>
                <w:color w:val="000000"/>
              </w:rPr>
              <w:t>◦ </w:t>
            </w:r>
            <w:r>
              <w:rPr>
                <w:rFonts w:ascii="Times New Roman;serif" w:hAnsi="Times New Roman;serif"/>
                <w:b w:val="false"/>
                <w:color w:val="000000"/>
                <w:sz w:val="20"/>
              </w:rPr>
              <w:t>Development and justification of acceptance criteria</w:t>
            </w:r>
          </w:p>
          <w:p>
            <w:pPr>
              <w:pStyle w:val="TableContents"/>
              <w:bidi w:val="0"/>
              <w:spacing w:lineRule="auto" w:line="288" w:before="0" w:after="0"/>
              <w:ind w:left="0" w:right="0" w:hanging="360"/>
              <w:jc w:val="left"/>
              <w:rPr/>
            </w:pPr>
            <w:r>
              <w:rPr>
                <w:color w:val="000000"/>
              </w:rPr>
              <w:t>◦ </w:t>
            </w:r>
            <w:r>
              <w:rPr>
                <w:rFonts w:ascii="Times New Roman;serif" w:hAnsi="Times New Roman;serif"/>
                <w:b w:val="false"/>
                <w:color w:val="000000"/>
                <w:sz w:val="20"/>
              </w:rPr>
              <w:t>Onsite facility evaluation and validations</w:t>
            </w:r>
          </w:p>
        </w:tc>
        <w:tc>
          <w:tcPr>
            <w:tcW w:w="6833" w:type="dxa"/>
            <w:gridSpan w:val="3"/>
            <w:tcBorders/>
            <w:tcMar>
              <w:top w:w="0" w:type="dxa"/>
              <w:left w:w="0" w:type="dxa"/>
              <w:bottom w:w="0" w:type="dxa"/>
              <w:right w:w="0" w:type="dxa"/>
            </w:tcMar>
            <w:vAlign w:val="center"/>
          </w:tcPr>
          <w:p>
            <w:pPr>
              <w:pStyle w:val="TableContents"/>
              <w:bidi w:val="0"/>
              <w:spacing w:lineRule="auto" w:line="288" w:before="0" w:after="0"/>
              <w:ind w:left="0" w:right="0" w:hanging="360"/>
              <w:jc w:val="left"/>
              <w:rPr/>
            </w:pPr>
            <w:r>
              <w:rPr>
                <w:color w:val="000000"/>
              </w:rPr>
              <w:t>◦</w:t>
            </w:r>
            <w:r>
              <w:rPr>
                <w:rFonts w:ascii="Times New Roman;serif" w:hAnsi="Times New Roman;serif"/>
                <w:b w:val="false"/>
                <w:color w:val="000000"/>
                <w:sz w:val="20"/>
              </w:rPr>
              <w:t>Technical troubleshooting and scientific problem solving</w:t>
            </w:r>
          </w:p>
          <w:p>
            <w:pPr>
              <w:pStyle w:val="TableContents"/>
              <w:bidi w:val="0"/>
              <w:spacing w:lineRule="auto" w:line="288" w:before="0" w:after="0"/>
              <w:ind w:left="0" w:right="0" w:hanging="360"/>
              <w:jc w:val="left"/>
              <w:rPr/>
            </w:pPr>
            <w:r>
              <w:rPr>
                <w:color w:val="000000"/>
              </w:rPr>
              <w:t>◦ </w:t>
            </w:r>
            <w:r>
              <w:rPr>
                <w:rFonts w:ascii="Times New Roman;serif" w:hAnsi="Times New Roman;serif"/>
                <w:b w:val="false"/>
                <w:color w:val="000000"/>
                <w:sz w:val="20"/>
              </w:rPr>
              <w:t>Regulatory compliance related services, including supporting clients through the regulatory submission process</w:t>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Our expert advisory services provide additional value and expertise at any stage of the product development life cycle. Nelson Labs offers these services on a standalone basis or as a combined offering with our lab testing services, which creates opportunities for cross-selling with our existing customers for both services. Our expert advisory services are also complemented by our ongoing education offerings conducted through webinars, seminars, tailored onsite education sessions and our website.</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u w:val="single"/>
        </w:rPr>
        <w:t>Routine Sterility and Quality Control Testing</w:t>
      </w:r>
      <w:r>
        <w:rPr>
          <w:rFonts w:ascii="Times New Roman;serif" w:hAnsi="Times New Roman;serif"/>
          <w:b w:val="false"/>
          <w:color w:val="000000"/>
          <w:sz w:val="20"/>
        </w:rPr>
        <w:t xml:space="preserve">. Once a product has received regulatory approval and is in production, Nelson Labs provides ongoing quality control testing, including production batch verification testing and environmental testing of the client’s production systems and facilities, the requirements for which vary based 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27c953b2e3004595bc062f37867a09b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applicable standards. Nelson Labs performs bacterial endotoxin testing or quarterly dose audits for devices sterilized using irradiation, and biological indicator testing for devices sterilized with EO. Nelson Labs also provides testing for producers of non-sterile products to ensure they are free of objectionable organisms. Often, Nelson Labs provides this ongoing routine quality control testing (based on production lot sizes) for the products for which it performed initial validation testing. These products are often sterilized by Sterigenics.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testing process commences when Nelson Labs receives samples and a testing request from the customer. Samples are triaged and assigned to specific lab departments, where laboratory analysts and study directors verify orders and interface with customers directly to clarify, adjust or enhance testing as needed to ensure compliance with regulatory standards. Once the sample has been tested, the order is closed out and results are verified by the study director and a technical reviewer prior to electronic delivery of the final customer report via a secure online customer portal.</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We operate in an industry that requires significant regulatory and specialized scientific expertise. At a minimum, providers must maintain the proper certifications and accreditations from key regulatory and accreditation bodies, as well as obtain qualification by each customer as a “qualified supplier,” which is often required at the corporate level and at each of the customer’s operating sites. We employ approximately 600 scientists, technicians and service specialists, creating a substantial competitive advantage in terms of expertise. Our experts serve in predominant roles on a number of standards writing organizations, including the United States Pharmacopeia, Association for the Advancement of Medical Instrumentation, American Society of Testing and Materials and the ISO. We have established credibility and trust with regulators and standards writing organizations which helps us educate customers about the continually changing testing requirements in a complex and evolving regulatory landscape. Our regulatory and scientific expertise in laboratory testing allows us to serve as a thought leader within the industry and provide high-quality service to our customers.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We provide microbiological and analytical chemistry laboratory tests across the medical device and pharmaceutical industries. Specifically, our medical device lab testing services include microbiology, biocompatibility and toxicology assessments, material characterization, sterilization validation, sterility assurance, packaging validation and distribution simulation, reprocessing validations, facility and process validation and performance validation and verification of PPE barriers and material. Our pharmaceutical lab testing services include microbiology, biocompatibility and toxicology assessments, extractables and leachables evaluations of pharmaceutical containers, sterilization validation, sterility assurance, packaging validation and distribution simulation and facility and process validation.</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Nelson Labs Customers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Nelson Labs serves approximately 3,000 customers, including many leading medical device manufacturers and pharmaceutical companies. We have recurring and stable customer relationships and benefit from minimal customer concentration, as no single customer accounted for more than 10% of our total revenues. </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Nelson Labs Competition</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We primarily compete in the global lab testing services market with a range of providers, from national or international players to other smaller regional or niche laboratories. Our products and services compete on the basis of the quality of services offered, breadth of services, level of expertise in each testing method, delivery time, level of expertise in the applicable regulatory requirements, our reputation with customers and regulators and the cost of services.</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Nelson Labs Suppliers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We purchase our lab testing supplies from a number of vendors mainly in the United States and occasionally throughout the world. In many cases we have redundant sources of supplies that minimize our risk of concentration. In addition, some crucial supplies are placed on reserve at specific vendors for our exclusive use.</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Nelson Labs Facilities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We operate from a five-building campus in Salt Lake City, Utah, with 85 laboratories including metrology, training, media prep labs, five ISO Class V certified clean rooms and customizable lab spaces. We also have facilities in Itasca, Illinois; Leuven, Belgium; Pleasant Prairie, Wisconsin; Wiesbaden, Germany, and seven other laboratories embedded in our Sterigenics sterilization facilities in North America, Europe and Asia.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27c953b2e3004595bc062f37867a09b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Intellectual Property</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Our businesses rely on certain proprietary technologies. Most of the proprietary technologies used in our businesses are unpatented. Some of our technologies, including certain processes, methods, algorithms and proprietary databases, are maintained by the business as trade secrets, which we seek to protect through a combination of physical and technological security measures and contractual measures, such as nondisclosure and confidentiality agreements. We also have limited proprietary technologies that are covered by issued patents or patent applications, in particular related to potential new Co-60 supply opportunities for our Nordion business.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name recognition of our businesses is a valuable asset. Many of our business names are the subject of trademark registrations or applications in the United States or certain other jurisdictions, or part of registered domain names.</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Human Capital Resources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One of our values is People. We value a global team that is talented, experienced, inclusive, respectful, passionate and collaborative. Our human capital strategy is aligned with our business strategy and priorities and focuses on developing and delivering global solutions to attract, develop, engage and retain top talent. On an annual basis, we review our employees to assess performance and leadership potential. We also create succession plans and individual development plans to ensure we have the team needed for the future. As of December 31, 2025, we employed over 3,000 employees worldwide. Certain of our employees, primarily outside of the United States, are represented by labor unions or work councils and are negotiating or working under collective bargaining or similar agreements, some of which are subject to periodic renegotiation. One labor union within the United States, representing approximately 40 employees, is covered under a collective bargaining agreement.</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We are committed to providing a safe work environment for our employees and contractors. We have implemented a health and safety program to manage workplace safety hazards and to protect employees. The program includes periodic reviews of our work practices by external third parties as inputs for continuous improvement. Additionally, as part of our corporate governance practices, we review the outcomes of our safety program at the highest levels of the Company, including our board of directors.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We are committed to creating a positive employee experience for our teams. We work to achieve this through our focus on the inclusion, well-being and development of all of our team members.</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Governmental Regulation and Environmental Matters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are subject to environmental, health and safety laws and regulations in the jurisdictions in which we operate, including laws, regulations and permit requirements with respect to our use of Co-60, EO and E-beam. These requirements limit emissions of, and the exposure of workers to, gamma radiation and EO. Nordion’s Kanata facility is licensed as a Class 1B nuclear facility in Canada, regulated by the Canadian Nuclear Safety Commission (“CNSC”), and is audited across various dimensions of this license on an annual basis. Our Nuclear Substance Processing Facility Operating license, CNSC Export license and CNSC Device servicing licenses for our Kanata facility were renewed in September 2025 for a 25-year period. In addition to the nuclear aspect of our products, many of the products that we process are medical devices directed for human use or products used in the manufacture of medical devices that are directed for human use. Our facilities hold various ISO certifications including ISO 9001, 13485, 14001, 45001 and ISO 17025. We have device, facility, and specific product registrations with North American (Health Canada and the Food and Drug Administration (“FDA”) and European Drug and Device health regulators. These regulators exert oversight through requirements for product registration and direct inspection of our operations.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Additionally, our operations in the United States and the majority of our facilities outside the United States (to the extent we are processing or testing a product that will end up in the U.S. market) are regulated by the FDA. We are also regulated by other health regulatory authorities in other countries. Specifically, these operations include some of our sterilization and product testing activities that may constitute “manufacturing” activities and are therefore subject to FDA requirements. These requirements include site, contract drug manufacturer and supplier of active pharmaceutical ingredients registration and listing and manufacturing requirements. Regulations issued by the Occupational Safety and Health Administration (“OSHA”), the U.S. Nuclear Regulatory Commission (“NRC”) and other agencies also require that equipment used at our facilities be designed and operated in a manner that is safe and with proper safety precautions and practices when handling, monitoring and storing EO and Co-60.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strive to comply with these regulatory requirements and could be subject to significant civil and criminal fines and penalties for non-compliance. To reduce the risk of noncompliance, we employ engineering and procedural controls and pollution control equipment and undertake internal and external regulatory compliance audits at our facilities. We have a proactive environmental health and safety (“EH&amp;S”) program and a culture of safety and quality across all business units, and we employ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27c953b2e3004595bc062f37867a09b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a Senior Vice President of Environmental, Health and Safety who reports directly to the Chief Executive Officer and has a team of approximately 50 employees.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 xml:space="preserve">EO Regulatory Overview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to general environmental laws and regulations, EO facilities and the EO sterilization process are subject to specific regulatory requirements under federal laws in the United States and the laws of the countries in which we operate, including European Union regulations. These additional regulations include specific requirements for permissible employee exposure limits, process safety programs, approved EO containers and their transportation, facility security, quality system programs, emission control systems and emission limits and products allowed to be treated with EO. Some state and local governments have additional environmental laws, stricter regulations or other requirements, including permitting programs that set forth operational parameters for EO sterilization facilities. In the United States, OSHA regulations limit worker exposure to EO. The use of EO for the reduction of bioburden on or sterilization of an approved list of products, including medical devices, pharmaceutical products, spices, and cosmetics is regulated by the U.S. Environmental Protection Agency (“U.S. EPA”) under the Clean Air Act (“CAA”) and the Federal Insecticide, Fungicide and Rodenticide Act (“FIFRA”). In addition, FDA regulations dictate the acceptable amount of EO residue on different types of EO-processed products. Most other countries in which we operate have similar EH&amp;S and worker exposure regulations.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EO sterilization facilities evacuate EO from the sterilization chambers and aeration rooms in a manner designed to meet applicable regulatory requirements in the jurisdictions in which we operate. Most countries in which we operate have varying emission control requirements for EO emissions from our facilities. We are investing in additional controls on EO emissions at our facilities to meet or exceed current and expected future regulatory requirements and further reduce facility emissions. In the United States, our supplier maintains FIFRA registrations for EO as a medical device sterilant for users of EO across the United States. On March 14, 2024, the U.S. EPA announced final rules under the National Emission Standards for Hazardous Air Pollutants (“NESHAP”) to govern EO sterilization facilities in the United States. The final regulation requires EO sterilization facilities to implement additional air pollution technologies, practices and procedures designed to further reduce EO emissions. For facilities like ours, the final NESHAP regulation imposes new requirements such as higher efficiencies for EO emission controls, implementation of permanent total enclosure capture technology, and use of continuous emissions monitoring systems (“CEMS”). The revised final NESHAP regulation generally allows two years for compliance. On March 12, 2025, the U.S. EPA announced that it was reconsidering the NESHAP regulation applicable to commercial sterilizers. On July 17, 2025, the White House issued a CAA proclamation providing a two-year exemption for certain sterilization facilities to allow time to obtain and install new control technology and implement required changes. Although our facilities were granted this exemption, we continue progressing certain changes to our facilities to comply with the final NESHAP EO sterilizer regulation. Additionally, a complaint was filed in January 2026 in the U.S. District Court for the District of Columbia against the President, U.S. EPA and the U.S. EPA Administrator seeking injunctive relief that would, if granted, invalidate the exemption and therefore require our facilities to comply with the original timeframe.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In January 2025, the U.S. EPA announced its final Interim Decision (“ID”) under FIFRA relating to the registration of EO for medical device sterilization. Over the next one to ten years, the FIFRA ID requires users of EO, including EO sterilization facilities like ours in the United States, to reach and maintain reduced employee exposure levels of EO; implement heightened worker protection practices, particularly in those areas of sterilization facilities where workers do not regularly wear respiratory protective equipment; and implement further facility design, increased employee exposure monitoring, additional indoor EO monitoring practices, sterilization cycle concentration limits, and other worker protection and training practices.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Additional regulatory requirements and obligations exist in certain other states, including requirements for the provision of notices regarding the release of or exposure to EO. Some states are considering changes that would impose new requirements for EO commercial sterilization facilities. For example, in December 2023, regulators in California imposed a number of new requirements with which our EO sterilization facilities will need to comply. Bills have been introduced in the U.S. Congress to further regulate EO sterilization activity.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Each of our EO sterilization facilities utilizes a variety of control technologies (including wet scrubbers, catalytic oxidizers and dry bed scrubbers) to control emissions, and we are investing in additional control features to further reduce emissions. For 2026, we expect capital expenditures of approximately $51 million related to environmental facility enhancements across all facilities within our business, and we anticipate continuing to invest in environmental facility enhancements in the future. We consistently meet or exceed regulatory emissions control requirements, although we have periodically experienced isolated instances of emissions exceeding applicable standards or other non-compliance, none of which we believe were material. We expect to be able to satisfy any changes to applicable regulatory requirements as they evolve and are committed to doing so, although there can be no assurance that we will always be able to meet new regulatory requirements.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27c953b2e3004595bc062f37867a09b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to government regulation, there are standards, guidelines and requirements established by industry organizations and other non-governmental bodies that may impact our operations, such as the ISO’s limit on the permissible levels of residual EO on sterilized medical devices. </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 xml:space="preserve">Gamma Irradiation Regulatory Overview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the United States, Sterigenics is subject to NRC and state regulations that govern operations involving radioactive materials at gamma irradiation plants. These NRC and state regulations specify the requirements for, among other things, maximum radiation doses, system designs, safety features, alarms, employee and area monitoring, testing and reporting. Each of our U.S. gamma plants has a radioactive materials license from the NRC or the state in which it operates. Nordion also has NRC licenses to distribute radioactive material within the United States, which permit Nordion to install and remove Co-60 sources and provide other services to its customers, as well as a license to export radioactive material from the United States to Canada. The NRC periodically updates and issues new security requirements for our U.S. gamma facilities.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Nordion segment operates through our subsidiary Nordion (Canada) Inc. in Canada and REVISS Services in the United Kingdom. Through Nordion, we are subject to additional Canadian regulations, including Transport Canada regulations for the Transportation of Dangerous Goods, CNSC regulations for General Nuclear Safety and Controls, Health Canada requirements for drugs and devices and CNSC and Canadian Department of Foreign Affairs and International Trade requirements for import and export.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Outside North America, the European Union and other national authorities have developed regulations pertinent to the operation of gamma irradiators that are similar to those of the NRC. While some specific requirements are different in the various other nations as compared to the United States, the fundamental concepts are consistent among the countries, since all are signatories to the International Atomic Energy Agency (“IAEA”) conventions and have adopted safety standards from the IAEA and recommendations from the International Commission on Radiological Protection (“ICRP”). </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 xml:space="preserve">E-beam and X-ray Irradiation Regulatory Overview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the United States, irradiators that use accelerators are regulated by the individual state in which a facility is located. While there is some variability in the content of regulations among states, all are patterned after the general regulations of the NRC. These regulations typically specify the requirements for radiation shielding, system designs, safety features, alarms, employee and area monitoring, testing and reporting. Some E-beam and X-ray facilities require environmental permits too.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Outside of the United States, accelerator regulations are similar among various nations. These regulations are based on the IAEA standards and ICRP recommendations, much like those for gamma irradiators.</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Available Information</w:t>
      </w:r>
    </w:p>
    <w:p>
      <w:pPr>
        <w:pStyle w:val="TextBody"/>
        <w:bidi w:val="0"/>
        <w:spacing w:lineRule="auto" w:line="288" w:before="200" w:after="283"/>
        <w:jc w:val="left"/>
        <w:rPr/>
      </w:pPr>
      <w:r>
        <w:rPr>
          <w:rFonts w:ascii="Times New Roman;serif" w:hAnsi="Times New Roman;serif"/>
          <w:b w:val="false"/>
          <w:color w:val="000000"/>
          <w:sz w:val="20"/>
        </w:rPr>
        <w:t xml:space="preserve">Our Annual Report on Form 10-K, Quarterly Reports on Form 10-Q, Current Reports on Form 8-K and amendments to those reports filed or furnished pursuant to Section 13(a) or 15(d) of the Securities Exchange Act of 1934, as amended (the “Exchange Act”), are made available free of charge through the Investor Relations page of our internet website at </w:t>
      </w:r>
      <w:r>
        <w:rPr>
          <w:rFonts w:ascii="Times New Roman;serif" w:hAnsi="Times New Roman;serif"/>
          <w:b w:val="false"/>
          <w:color w:val="000000"/>
          <w:sz w:val="20"/>
          <w:u w:val="single"/>
        </w:rPr>
        <w:t>https://investors.soterahealth.com</w:t>
      </w:r>
      <w:r>
        <w:rPr>
          <w:rFonts w:ascii="Times New Roman;serif" w:hAnsi="Times New Roman;serif"/>
          <w:b w:val="false"/>
          <w:color w:val="000000"/>
          <w:sz w:val="20"/>
        </w:rPr>
        <w:t xml:space="preserve">, as soon as reasonably practicable after such documents are electronically filed with, or furnished to, the Securities and Exchange Commission (“SEC”). The SEC maintains an internet website, </w:t>
      </w:r>
      <w:r>
        <w:rPr>
          <w:rFonts w:ascii="Times New Roman;serif" w:hAnsi="Times New Roman;serif"/>
          <w:b w:val="false"/>
          <w:color w:val="000000"/>
          <w:sz w:val="20"/>
          <w:u w:val="single"/>
        </w:rPr>
        <w:t>https://www.sec.gov</w:t>
      </w:r>
      <w:r>
        <w:rPr>
          <w:rFonts w:ascii="Times New Roman;serif" w:hAnsi="Times New Roman;serif"/>
          <w:b w:val="false"/>
          <w:color w:val="000000"/>
          <w:sz w:val="20"/>
        </w:rPr>
        <w:t>, that contains reports, proxy and information statements, and other information regarding issuers that file electronically with the SEC.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We describe below certain risks that could adversely affect our business, prospects, financial condition or results of operations. While we believe we have identified and discussed below the key risks affecting our business, there may be additional risks and uncertainties that are not presently known or that are not currently believed to be significant that may adversely affect our business, results of operations, cash flow, liquidity or financial condition in the future. These risk factors may change from time to time and may be amended, supplemented or superseded by updates to the risk factors contained in our future periodic reports, Quarterly Reports on Form 10-Q and reports on other forms we file with the SEC. All forward-looking statements about our future results of operations or other matters made by us in this Annual Report on Form 10-K as well as our consolidated financial statements and notes, and in our subsequently filed or furnished reports with the SEC, as well as in our press releases and other public communications, are qualified by the risks described below.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27c953b2e3004595bc062f37867a09b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u w:val="single"/>
        </w:rPr>
      </w:pPr>
      <w:r>
        <w:rPr>
          <w:rFonts w:ascii="Times New Roman;serif" w:hAnsi="Times New Roman;serif"/>
          <w:b/>
          <w:color w:val="000000"/>
          <w:sz w:val="20"/>
          <w:u w:val="single"/>
        </w:rPr>
        <w:t>Risk Factor Summary</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Our business operations are subject to numerous risks, factors and uncertainties, including those outside of our control, that could cause our actual results to be harmed, including the following:</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 xml:space="preserve">a disruption in the availability or supply of, or increases in the price of, EO, Co-60 or our other direct materials, services and supplies, including as a result of geopolitical instability and/or sanctions against Russia by the United States, Canada, the United Kingdom and/or the European Union, or sanctions by Russia against those countries; </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fluctuations in foreign currency exchange rates;</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evolving changes in environmental, health and safety regulations;</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 xml:space="preserve">health and safety risks associated with the use, storage, transportation and disposal of potentially hazardous materials, such as EO and Co-60; </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the impact and outcome of current and future legal proceedings and liability claims, including litigation related to the use, emissions and releases of EO from our current and former EO sterilization facilities, and the possibility that other claims will be made in the future;</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allegations of our failure to properly perform services and potential product liability claims, recalls, penalties and reputational harm;</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 xml:space="preserve">compliance with the extensive regulatory requirements to which we are subject, the related costs, and any failures to receive or maintain, or delays in receiving, required clearances or approvals; </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adverse changes in industry trends;</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 xml:space="preserve">competition we face; </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 xml:space="preserve">market conditions and changes, including inflationary trends and the impact of tariffs, that impact our long-term supply contracts with variable price clauses and increase our cost of revenues; </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 xml:space="preserve">business continuity hazards, including supply chain disruptions, federal government shutdowns, and other risks associated with our operations; </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 xml:space="preserve">the risks of doing business internationally, including global and regional economic and political instability and compliance with various applicable laws and potentially inconsistent laws and regulations in multiple jurisdictions; </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our ability to increase capacity at existing facilities, build new facilities in a timely and cost-effective manner and renew leases for our leased facilities;</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 xml:space="preserve">our ability to attract and retain qualified employees;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severe health events or environmental events;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cybersecurity incidents, unauthorized data disclosures, and our dependence on IT systems; </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the risks associated with the introduction of AI technology;</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an inability to pursue strategic transactions, find suitable acquisition targets, or integrate strategic acquisitions into our business successfully;</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 xml:space="preserve">our ability to maintain effective internal control over financial reporting; </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our reliance on intellectual property rights to maintain our competitive position and the risk of claims from third parties that we have infringed or misappropriated, or are infringing or misappropriating, their intellectual property rights;</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 xml:space="preserve">our ability to comply with rapidly evolving data privacy and security laws and regulations in various jurisdictions and any ineffective compliance efforts with such laws and regulations; </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our ability to maintain profitability in future periods;</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impairment charges on our goodwill and other intangible assets with indefinite lives, as well as other long-lived assets and intangible assets with definite lives;</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 xml:space="preserve">the effects of unionization efforts and labor regulations in countries in which we operate; </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adverse changes to our tax positions in U.S. or non-U.S. jurisdictions or the interpretation and application of U.S. tax legislation or other changes in U.S. or non-U.S. taxation of our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27c953b2e3004595bc062f37867a09bd_7">
        <w:r>
          <w:rPr>
            <w:rStyle w:val="InternetLink"/>
            <w:rFonts w:ascii="Times New Roman;serif" w:hAnsi="Times New Roman;serif"/>
            <w:b w:val="false"/>
            <w:color w:val="0000FF"/>
            <w:sz w:val="20"/>
            <w:u w:val="single"/>
          </w:rPr>
          <w:t>Table of Contents</w:t>
        </w:r>
      </w:hyperlink>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our significant degree of leverage and how this leverage could adversely affect our ability to raise additional capital, limit our ability to react to challenges facing our Company or broader changes in our industry or the economy, limit our flexibility in operating our business through restrictions contained in our debt agreements and/or prevent us from meeting our obligations under our existing and future indebtedness;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control that certain investment funds and entities affiliated with Warburg Pincus and GTCR, which we refer to collectively as the “Sponsors,” continue to have over us.</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Risks Related to the Company</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 xml:space="preserve">We depend on a limited number of counterparties to provide the materials and resources we need to operate our business. Any disruption in the availability of, or increases in the price of, EO, Co-60 or our other direct materials, services and supplies, including as a result of geopolitical instability or sanctions against Russia by the United States, Canada, the United Kingdom and/or the European Union, or sanctions by Russia against those countries, may have a material adverse effect on our operating results.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We purchase certain direct materials, equipment and services necessary for our specialized products and services from a limited number of suppliers and subcontractors, and, in certain cases, we purchase large quantities of product from a sole supplier. If our significant suppliers or service providers were unable to meet their obligations under present arrangements, direct materials or equipment were to become unavailable within the geographic area from which they are now sourced, or supplies were otherwise constrained or disrupted for any reason (including as a result of a natural disaster, the unavailability or short-supply of raw materials or services, labor disruptions, changes in regulatory requirements, delays in securing required regulatory approvals, geopolitical instability, sanctions or other adverse occurrences), we may incur increased costs for our direct materials or equipment and may be unable to accommodate new business or meet our current customer commitments. For example, although there is more than one supplier of EO in most of the countries in which we operate, in the United States there is a single supplier for EO for our sterilization business. Further, our reliance on a single or limited number of suppliers may limit our negotiating power, particularly during times of rising direct material costs. Any interruptions that we experience in our supply of EO or Co-60 may disrupt, interrupt or shut down portions of our operations, materially increase our costs or have other adverse effects on our business, prospects, financial condition or results of operations.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We source a substantial portion of our Co-60 supply from three nuclear reactor operators and six reactor sites in Canada and Russia under contracts that extend to between 2026 and 2064. See Item 1, “Business—Our Businesses—Sterilization Services—Nordion—Nuclear Reactor Operators.” If there is a decrease in output from any of these reactors (including as a result of a natural disaster, war, geopolitical instability or other adverse occurrence), the counterparties fail to perform under their agreements with us or decline to enter into renewal contracts with us for our future supply needs and we are unable to obtain supply from other sources, or if such sources begin to compete with us in one or more geographies, this could have a material adverse effect on our business. In addition, a number of reactors that have the capacity to generate Co-60 are government owned. Priorities of governments can change. Shutdowns of government owned reactors in the past have decreased the availability of Co-60 and potential shutdowns in the future could decrease the availability of Co-60, which could have a material adverse effect on our business, prospects, financial condition or results of operations.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We estimate approximately 20% of our long-term supply of Co-60 will be generated by Russian nuclear reactors. Further, over the next few years, we expect that there will be periods when, owing to planned or unplanned outages and variability in supply from reactors located in other countries, the proportion of our supply from Russian reactors may increase to as much as approximately 50% in a given year. The United States, Canada, the United Kingdom and the European Union have imposed and are expected to continue imposing sanctions against Russian industries, Russian officials and certain Russian companies, banks, logistics providers and individuals. Russia has responded and is expected to continue to respond with countermeasures, including prohibiting imports of certain goods from certain other countries and exports of certain goods from Russia to certain other countries.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Expanded sanctions could target additional government- and privately-owned operations in Russia, including nuclear reactor operators, banks and logistics providers, and these expanded sanctions could prevent us from doing business with them. For example, certain banks through which our suppliers have been paid in the past have been sanctioned and there is no assurance the suppliers will be able to continue to find new, unsanctioned banking relationships in the future. Moreover, sanctions on products and materials imported from and exported to Russia have disrupted the logistics required to import Co-60 from Russia, requiring us, our logistics providers (including the single ocean carrier that is presently licensed to carry radioactive goods from Russia to North America) and insurers to seek licenses that will come up for renewal in 2026 and 2027. There are also various Canadian CNSC and Global Affairs Canada licenses for export and import of Canadian Co-59 “targets,” such as cobalt pellets and slugs, that require renewal on a routine basis. Although these other licenses were historically required as part of control of the nuclear industry and are not related to the increased sanction frameworks, an inability to obtain these licenses would impact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27c953b2e3004595bc062f37867a09b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future supply. CNSC licenses for the imports and exports related to the targets expire in 2028. If present or future sanctions against Russia directly or indirectly impede the shipment of Co-60 from Russia to North America or targets from North America to Russia, if we or our logistics providers are unable to secure or renew licenses under existing or future sanctions, if we are unable to identify international logistics providers needed for the supply of Co-60 or if Russia responds with further countersanctions, it may generally become more difficult to do business with Russian entities, which could have a material adverse effect on our business, prospects, financial condition or results of operations.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 xml:space="preserve">We may be subject to evolving changes in environmental, health and safety regulations, which may negatively impact our business.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Federal, state, local and international authorities regulate operations within our three business units, including the operation of our gamma irradiation, E-beam, X-ray, and EO sterilization facilities, as well as the operations of our customers. If the regulators that govern our operations or the operations of our customers were to institute restrictive or onerous policies or regulations that increase our costs or change the preferences or requirements of our customers or suppliers, demand for and the timely and cost-effective availability of our products and services may be materially affected.</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Additionally, certain regulators, including the FDA, have started initiatives to encourage development of sterilization alternatives to EO processing. For example, the FDA approved vaporized hydrogen peroxide as a Category-A sterilization methodology in 2024. We have taken part in some of these initiatives. We have also made proactive, voluntary investments to enhance the emissions controls and employee protections within our EO facilities. Still, new regulations or changes to existing or expected regulations may require additional investments in new emissions control or employee protection technology or otherwise increase the cost of our gamma irradiation or EO processing. See related Risk Factor “—We are subject to extensive regulatory requirements and routine regulatory audits in our operations. We must receive certain permits, licenses and/or regulatory clearance or approval for our operations. Compliance with these regulations is costly, and failure to comply with all laws and regulations or to receive or maintain permits, licenses, clearances or approvals may impact our revenues, profitability, financial condition or value. We may face liability and reputational risks even if we comply with all laws and regulations.” Reconfiguring a gamma irradiation or EO sterilization facility so that it is suitable for a different sterilization technology, in response to changes in demand, regulations or other factors, would require significant capital investment and require us to suspend operations at the affected facility during the conversion. Any of the foregoing could have a material adverse effect on our business, prospects, financial condition or results of operations. </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 xml:space="preserve">Safety risks associated with the use, storage, transportation and disposal of potentially hazardous materials, such as EO and Co-60, may result in accidents or liabilities that materially affect our results of operations.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EO is flammable and explosive under certain conditions. Despite our extensive safety measures, a fire or explosion could occur at a sterilization facility where we use EO, which could interrupt our normal operations and result in facility closures, workplace and other injuries, property damage, or otherwise adversely affect our business.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Because Co-60 is radioactive, its containment and proper shielding is important in preventing contamination or improper exposure. If the double-encapsulated Co-60 pencils were to become damaged or corroded, Co-60 sources could develop a source leak, leading to radioactive contamination requiring comprehensive clean-up of the storage pool. Similarly, physical damage to the protective stainless-steel covering during the process of adding or removing Co-60 rods from an irradiator could also result in a source leak and contamination incident. Clean-up and disposal costs for damaged Co-60 rods and radioactive contamination could be significant. If any liability claims are made against us in the future, we could be liable for damages that are alleged to have resulted from such exposure or contamination.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Potentially hazardous materials must be handled and disposed of properly. Accidents involving disposal or handling of these substances, including accidents resulting from employees failing to follow safety protocols, could result in injury to people, property or the environment, as well as possible disruptions, restrictions or delays in production, and have in the past and could in the future result in claims relating to such events. For example, members of our workforce have been injured in our facilities and we have experienced property damage, production disruptions and temporary facility closures. Any injuries or damage to people, equipment or property or other disruptions in the disposal, production, processing or distribution of products could result in a significant decrease in operating revenue, a significant increase in costs to replace or repair and insure our assets and substantial reputational harm, which could materially adversely affect our business, prospects, financial condition or results of operations, and could have legal consequences that affect our ability to continue to operate the affected facility. Our customers served by an affected facility could choose to switch to an alternative sterilization service provider.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Any incident at or emission from any of our EO, gamma or lab facilities that causes harm to workers or people who live, work, attend school or otherwise spend significant amounts of time near our facilities, or the interruption of normal operations at our facilities, could result in claims against us and, if those claims are successful, substantial liability to us. We are currently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27c953b2e3004595bc062f37867a09b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subject of lawsuits alleging that the use, emissions and releases of EO from certain of our current and former facilities have resulted in toxicological or health-related impacts on the environment and members of the communities that surround these facilities. We deny these allegations. We have also from time to time been involved with workers’ compensation claims relating to potentially hazardous materials. We may be subject to similar claims in the future, and one or more adverse judgments could result in significant liability for us and have a material adverse effect on our business, financial condition and results of operations. See related Risk Factors “—We are currently defending certain litigation, and we are likely to be subject to additional litigation in the future” and “—Potential health risks associated with the use of EO may subject us to future liability claims and associated adverse effects.”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Nordion contracts for the activation of Co-59 “targets,” such as cobalt pellets and slugs, into Co-60 in certain nuclear reactors in Canada and Russia. Our Co-59 targets (and in Canada, our adjuster rods provided to us by a supplier) function as part of the reactors’ reactivity control systems. While national laws or international conventions generally channel liability for nuclear incidents exclusively to reactor operators, equipment suppliers nevertheless could be subject to lawsuits for damage to the nuclear installation or damages from a nuclear incident that were alleged to have been caused intentionally. While we make efforts to protect our interests through contractual provisions, quality assurance programs and the nature of our commercial relationships, there is no assurance that any of these measures or liability channeling laws or conventions will always prove effective in shielding us from liability, and any such liability or consequences could have a material adverse impact on our business, results of operations and financial condition.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currently carry pollution liability insurance for all our facilities and related operations and liability insurance, including from third party bodily injury or property damage allegedly arising from the storage, use, transportation or accident involving Co-60 sources in our operations. But this insurance may not cover all risks associated with the potential hazards of our business and is subject to limitations, including deductibles and maximum liabilities covered. We may incur losses beyond the limits, or outside the coverage, of our insurance policies. Additionally, our insurance for future alleged environmental liabilities excludes coverage for EO claims. Our ability to increase pollution liability insurance limits or replace any policies upon their expiration without exclusions for claims related to alleged EO exposure has been adversely impacted by claims against us, including pending claims alleging that the use, emissions and releases of EO from certain of our facilities have resulted in toxicological or health-related impacts on the environment and members of the communities that surround these facilities. To the extent any pollution liability is not covered by our insurance or able to be recovered from other parties, our business, financial condition or results of operations could be materially adversely affected. </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Potential health risks associated with the use of EO may subject us to future liability claims and associated adverse effects.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Potential health risks associated with exposure to EO subject us to the risk of liability claims being made against us by workers, contractors, employees of our customers and individuals who have resided, worked, attended school or otherwise spent time within miles of our EO sterilization facilities. Assessments of the potential health risks of exposure to EO have evolved over time. For example, although EO is present in the environment from a variety of sources and naturally produced by the human body, the U.S. EPA has identified a potential for increased risk of certain cancers from exposure to EO emitted from sterilization facilities. In 2016, the U.S. EPA published its Integrated Risk Information System toxicity assessment of EO (the “2016 IRIS Assessment”), and, since 2018, the U.S. EPA has published National Air Toxics Assessments, which have been succeeded by Air Toxics Screening Assessments. These assessments have used the 2016 IRIS Assessment and other data to identify EO as a potential cancer concern in several areas across the country, including areas surrounding certain of our current and former EO sterilization facilities in the United States. Although we and other organizations disagree with the U.S. EPA’s assessments of the carcinogenic potency of EO, Sterigenics’ facilities and other EO facilities could continue to be the subject of unfavorable air quality assessments, regulations and other initiatives as risk assessments of EO continue to evolve. We can give no assurance as to the impact of such EO risk or air quality assessments on our business, prospects, financial condition, litigation and regulatory risks or results of operations. See related Risk Factor “—We are subject to extensive regulatory requirements and routine regulatory audits in our operations. We must receive certain permits, licenses and/or regulatory clearance or approval for our operations. Compliance with these regulations is costly, and failure to comply with all laws and regulations or to receive or maintain permits, licenses, clearances or approvals may impact our revenues, profitability, financial condition or value. We may face liability and reputational risks even if we comply with all laws and regulations.”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are currently subject to lawsuits in California, Georgia, Illinois and New Mexico alleging personal injury, property devaluation and other claims related to the use, emissions and releases of EO from our facilities. Additional EO lawsuits have been threatened and may be filed in the future relating to our EO facilities in the United States. These threats of additional EO lawsuits are comparable to threats that have similarly been made against other companies within our industry. We deny these allegations against us and our subsidiaries. See related Risk Factor “—We are currently defending certain litigation, and we are likely to be subject to additional litigation in the future,” Item 3, “Legal Proceedings” and Note 19, “Commitments and Contingencies,” to our consolidated financial statements. We may be subject to other claims by private plaintiffs and/or state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27c953b2e3004595bc062f37867a09b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local governments and/or agencies in the future relating to our current or former facilities. In addition, we have encountered and may continue to encounter resistance, protests or other actions in communities where our existing facilities are located or where we seek to establish or expand facilities based on perceptions within these communities of the risks associated with exposure to EO. Publicity regarding community resistance to EO facilities may also have other adverse impacts, including damage to our reputation and public pressure against our facilities that may affect our ability to conduct our business.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If we are the subject of other lawsuits related to use, emissions and releases of EO, that litigation, regardless of the merits of the claims at issue or the ultimate outcome of the case, could result in a substantial cost to us and could have a material adverse effect on our business, prospects, financial condition or results of operations. </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We are currently defending certain litigation, and we are likely to be subject to additional litigation in the future.</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Our business exposes us to significant potential risk from lawsuits, investigations and other legal proceedings. We are currently pursuing and defending various proceedings and will likely be subject to additional proceedings in the future, including potential litigation regarding the products and services we provide or which we or our predecessors have provided. As detailed in Note 19, “Commitments and Contingencies,” to our consolidated financial statements under the heading “Ethylene Oxide Tort Litigation,” we are currently subject to lawsuits in California, Georgia and Illinois brought by private plaintiffs and, in New Mexico, a government entity, alleging personal injury, property devaluation and other claims related to our use, emissions and releases of EO. Additional EO lawsuits have been threatened and may be filed in the future relating to our EO facilities in the United States; these threats of additional EO lawsuits are comparable to threats that have similarly been made against other companies within our industry.</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In such litigation, plaintiffs typically seek various remedies, including injunctive relief and compensatory and punitive damages. Settlement demands may seek significant payments and other remedies, or otherwise be on terms that we do not consider reasonable under the circumstances. Settlement negotiations may result in agreements to settle claims on various terms and conditions adverse to the Company, including significant payments to settle claims that we believe are without merit. In some instances, despite our compliance with applicable laws and regulations, including those relating to emission standards, an adverse judgment or outcome may occur based on other applicable laws or principles of common law, including negligence and strict liability, and result in significant liability and reputational damage for us. Defense of litigation may result in diversion of management attention from other priorities. We may be subject to future claims in addition to those described above by or on behalf of similar groups of plaintiffs, including potentially our employees or former employees, relating to any of our current or former facilities or activities. In addition, awards against and settlements by us or our competitors or publicity associated with EO-related litigation or regulator activity could incentivize parties to bring additional claims against us.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financial impact of litigation, particularly mass action lawsuits, is difficult to assess or quantify. The outcomes of jury trials are unpredictable, and a judgment entered or settlement reached in one case is not representative of the outcome of other seemingly comparable cases. If we are the subject of future lawsuits, regardless of the merits of the claims at issue or the ultimate outcome of a case, any litigation could be costly to defend, result in an increase of our insurance premiums, and exhaust any available insurance coverage. Claims against us that result in entry of a judgment, that we settle that are not covered or not sufficiently covered by insurance policies, or that fall within retained liability under our policies, could have a material adverse impact on our business, prospects, financial condition or results of operations. Our current environmental liability insurance does not cover claims related to EO. Even where we have coverage under prior or existing policies for claims brought against us, our insurance may not be adequate to cover all potential liabilities and losses arising from those claims, and we have significant self-insured retention amounts, which we would have to pay in full before obtaining any insurance proceeds. Additionally, even where a claim should be covered by insurance, an insurer might refuse coverage. To the extent our insurance coverage is inadequate, and we are not successful in identifying additional coverage for such claims, we would have to pay any costs or losses in excess of policy limits, including costs to defend such claims, and the amount of any settlement or judgment. Any settlement or judgment against us arising out of pending or future claims related to EO would likely exceed any insurance recoveries available to us and could have a material adverse effect on our business, prospects, financial condition or results of operations. See Note 19, “Commitments and Contingencies,” to our consolidated financial statements for more detail on our pending litigation.</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We have received an adverse judgment and may in the future receive other adverse judgments in litigation relating to our use, emissions and releases of EO. Despite our belief that these claims are not supported by the science and are otherwise without merit, we have entered and may in the future enter into agreements to settle claims relating to our use, emissions and releases of EO. The resolution of these matters by litigation or settlement may have a negative impact on our financial condition and liquidity in the near and long term.</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27c953b2e3004595bc062f37867a09b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described elsewhere in Note 19, “Commitments and Contingencies,” to our consolidated financial statements under the heading “Ethylene Oxide Tort Litigation,” we are subject to tort lawsuits alleging injuries caused by our use of EO and low-level environmental exposure to EO emissions and releases from certain of our sterilization facilities. Trials were conducted in the Circuit Court of Cook County, Illinois in late 2022 in two individual cases related to our former facility in Willowbrook, Illinois. The first trial resulted in a verdict for the plaintiff and a judgment of $358.7 million (including $320 million in punitive damages) against Sterigenics U.S., LLC and Sotera Health LLC (the “Defendant Subsidiaries”). Two months later, the second trial resulted in a verdict for the Defendant Subsidiaries.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In January 2023, the Defendant Subsidiaries entered into binding term sheets that provided an agreed path to pay $408.0 million to settle over 880 claims related to our former facility in Willowbrook, Illinois, including the claim of the plaintiff in the first trial. The settlement was finalized in June 2023. In April 2025, the Defendant Subsidiaries entered into binding term sheets to pay $30.9 million to resolve 97 claims, including claimants with pending lawsuits and claimants who asserted claims but had yet to file lawsuits. The settlement was finalized in September 2025. In July 2025, the Defendant Subsidiaries entered into binding term sheets to pay $34.0 million to resolve 129 additional claims, including those of claimants with pending lawsuits and claimants who asserted claims but had yet to file lawsuits. That settlement was finalized in February 2026. In addition, in December 2025, the Defendant Subsidiaries settled with the remaining plaintiff to opt-out of the January 2023 settlement.</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In October 2023, the Defendant Subsidiaries entered into binding term sheets to pay $35 million to resolve 79 claims related to the Atlanta, Georgia facility. The settlement was finalized in January 2024. Approximately 450 personal injury claims and 305 property devaluation claims related to the Atlanta facility, as well as a lawsuit in which employees of a sterilization customer of Sterigenics allege they were injured while working at the customer’s distribution facility by exposure to residual EO allegedly emanating from products of the customer that had been sterilized by Sterigenics, remain pending in Cobb County, Georgia.</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We continue to believe that the EO-related claims are without merit and intend to vigorously defend the remaining EO cases and any future EO cases. We do not believe the damages awarded in the first trial in Illinois are predictive of potential future damage awards in the other EO tort cases, or that the settlement amounts reflected in the Willowbrook or Atlanta settlements described above are predictive of potential future settlements, but there can be no assurance that any cases proceeding to trial will not result in significant judgments adverse to us, the Defendant Subsidiaries or other subsidiaries and future settlements of EO cases are reasonably possible. In the event we or our subsidiaries receive one or more additional adverse judgments in any EO tort case(s), we or our subsidiaries may be required to post security, such as an appellate bond, of a significant amount to stay those judgments through the appeals process.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Actions required to secure appellate bonds may create a substantial strain on our and our subsidiaries’ liquidity and financial condition. There is no assurance that our subsidiaries or the Company will meet the requirements to provide an appellate bond(s) for appeals of any future adverse judgments. If we or our subsidiaries are unable to meet those requirements and are not able to secure an appellate bond when and in the form and amount required by the courts for the appeal to proceed, the judgment(s) will become enforceable and may exceed our or our subsidiaries’ ability to pay in cash. If we or our subsidiaries are unable to pay in cash, the Company or our subsidiaries may be required to seek financing, sell assets or take other measures to address the judgments. There can be no assurance that our subsidiaries or the Company will be able to secure such financing, and any sales of assets or other such actions taken to attempt to satisfy judgments may significantly limit our liquidity, harm our financial condition and increase our leverage.</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In addition, an event of default under the Senior Secured Credit Facilities (as defined below) and the Indenture (as defined below) would occur if the Company or certain of its subsidiaries received one or more enforceable judgments for payment in an aggregate amount in excess of the greater of (i) $162.6 million or (ii) 30.0% of consolidated EBITDA or LTM EBITDA (as defined in the Credit Agreement (as defined below) and the Indenture, respectively) and the judgments were not stayed or remained undischarged for a period of 60 consecutive days. Thus, if we or our subsidiaries are unable to meet collateral requirements to post an appellate bond to stay the enforceability of a judgment, absent judicial relief, we may be required to negotiate with our current lenders to avert a default under our senior secured credit facilities and the success of such negotiations cannot be assured.</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 xml:space="preserve">Allegations of our failure to properly perform our services may expose us to potential product liability claims, recalls, penalties and reputational harm or could otherwise cause a material adverse effect on our business.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face the risk of financial exposure to product and other liability claims alleging that our failure to adequately perform our services resulted in adverse effects, including product recalls or seizures, adverse publicity and safety alerts. In our Sterigenics business, for example, while our customers are generally responsible for determining the cycle parameters (the levels of temperature, humidity and EO concentration to which products are exposed during the sterilization process and the duration of such exposure) or dosage specifications (the amount of gamma or E-beam irradiation to which products are exposed) for their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27c953b2e3004595bc062f37867a09b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products, we are required to certify that such cycle or dosage parameters were achieved. If we fail to process a customer’s product in accordance with the cycle parameters, dosage specifications or testing requirements prescribed by the customer, our standard contract requires us to inform our customer of the nonconformance, to reprocess or retest the product if that is a feasible alternative and to reimburse the customer (subject to a maximum) for the cost of any products that are damaged as a result of the nonconformance. We could be held liable for personal injury, contractual or other damages that are alleged to result from improper or incorrect processing, cycle parameters or dosage specifications, testing or product damage. Even where processing occurred within cycle parameters, we have faced and may face future claims resulting from processing. In our Nelson Labs business, if we fail to perform our services in accordance with regulatory requirements for medical products, regulatory authorities may take action against us or our customers. Regulatory authorities may disqualify certain analyses from consideration in connection with marketing authorizations, which could result in our customers not being able to rely on our services in connection with their submissions, may subject our customers to additional studies or testing and delays in the development or authorization process, and may lead our customers to take actions such as terminating their contracts with us. We could also face claims that we performed erroneous or out-of-specification testing or data integrity complaints, any of which could require retesting and result in personal injury claims or claims of economic or other loss.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derive limited revenue from government customers. Our government contracts may contain additional requirements that may increase our costs of doing business, subject us to additional government scrutiny and expose us to liability for failure to comply with additional government requirements. In our Nordion business, our processing and sale of medical-grade Co-60 used for radiation therapy involves an inherent risk of exposure to product liability claims, product recalls and product seizures. In addition, our installation of irradiators for our customers could expose us to design defect product liability claims, whether or not such claims are valid. A product liability judgment against us could also result in substantial and unexpected costs, affect customer confidence in our products, damage our reputation and divert management’s attention from other responsibilities.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Although we maintain product and professional liability insurance coverage in amounts we believe are customary for a company of our size, there can be no assurance that this level of coverage is adequate or that we will be able to continue to maintain our existing insurance or obtain comparable insurance at a reasonable cost, if at all. In addition, insurance coverage is subject to exclusions, which change from time to time based on industry developments. For example, our current product and professional liability insurance does not cover matters related to EO emissions. A product recall or seizure or a partially or completely uninsured judgment against us could have a material adverse effect on our business, prospects, financial condition or results of operations.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 xml:space="preserve">We are subject to extensive regulatory requirements and routine regulatory audits in our operations. We must receive certain permits, licenses and/or regulatory clearance or approval for our operations. Compliance with these regulations is costly, and failure to comply with all laws and regulations or to receive or maintain permits, licenses, clearances or approvals may impact our revenues, profitability, financial condition or value. We may face liability and reputational risks even if we comply with all laws and regulations.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industry is characterized by evolving regulations, and our operations are subject to extensive regulation in the United States and other countries where we do business. We are regulated by national and local agencies with jurisdiction over a number of areas directly or indirectly related to our businesses, including environmental, nuclear safety, homeland or national security, worker safety and health, food, drug and device manufacturing, fire protection, research, marketing, transportation, drug enforcement (governing the handling of controlled substances), protection against infectious diseases and pathogens and agriculture, fish and wildlife. These laws and regulations regulate our use of potentially hazardous materials, such as EO, Co-60, E-beam, and X-ray, and can require us to carefully manage, control emissions of and/or limit human exposure to, these materials. For example, OSHA and U.S. EPA regulations and similar laws in other jurisdictions limit worker exposure to EO. In addition, FDA and comparable foreign regulations dictate the acceptable amount of EO residue on different types of sterilized products. In most jurisdictions, we are required to maintain and operate pollution control equipment to minimize emissions and releases of EO. Regulations issued by OSHA, the NRC and other agencies also require that equipment used at our facilities be designed and operated in a manner that is safe.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In the United States, the use of EO for medical device sterilization is regulated by the U.S. EPA under the CAA and FIFRA. Our supplier maintains a FIFRA registration for the EO they sell in the United States that is used to sterilize or reduce the viable microorganisms on a listed group of products, including medical devices, pharmaceutical products, cosmetics and spice products.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March 2024, the U.S. EPA announced final rules under the National Emissions Standards for Hazardous Air Pollutants (“NESHAP”) to govern EO sterilization facilities in the United States, and on April 5, 2024, the final NESHAP regulation became effective. The final regulation requires EO sterilization facilities to implement additional air pollution technologies, practices and procedures designed to further reduce EO emissions. For facilities like ours, the final NESHAP regulation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27c953b2e3004595bc062f37867a09b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imposes new requirements such as higher efficiencies for EO emission controls, implementation of permanent total enclosure capture technology, and use of CEMS. The revised final NESHAP regulation generally allows two years for compliance. On March 12, 2025, the U.S. EPA announced that it was reconsidering the NESHAP regulation applicable to commercial sterilizers. On July 17, 2025, the White House issued a CAA proclamation providing a two-year exemption for certain sterilization facilities to allow time to obtain and install new control technology and implement required changes. Although our operations are covered by this exemption, we continue progressing certain changes to our facilities to comply with the final NESHAP EO sterilizer regulation. Additionally, a complaint was filed in January 2026 in the U.S. District Court for the District of Columbia against the President, U.S. EPA and the U.S. EPA Administrator seeking injunctive relief that would, if granted, invalidate the exemption and therefore require our facilities to comply with the original timeframe.</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Over the next one to ten years, the FIFRA ID requires users of EO, including EO sterilization facilities like ours in the United States, to reach and maintain reduced employee exposure levels of EO; implement heightened worker protection practices, particularly in those areas of sterilization facilities where workers do not regularly wear respiratory protective equipment; and implement further facility design, increased employee exposure monitoring, additional indoor EO monitoring practices, sterilization cycle concentration limits, and other worker protection and training practices.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We believe that our investments in emission control enhancements and employee protection at our EO facilities have positioned us to be able to comply with the updated NESHAP and FIFRA ID requirements within the timeframes specified by the final rules or regulatory exemptions received, but the requirements of the final rules represent significant changes from historical requirements and are challenging for existing EO sterilization facilities like ours, and therefore we cannot provide certainty that we will be able to comply with the requirements of the final rules at our EO facilities within the time required. Compliance with the final NESHAP and FIFRA ID may ultimately require additional facility modifications, capital expenditures and operational costs beyond what the Company is presently anticipating.</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U.S. EPA has engaged in additional regulatory activities relating to EO emissions that could trigger additional community concerns and litigation regarding EO that could cause us to incur material defense costs, could result in diversion of management resources, and potentially could cause us to incur material liability or settlement costs or have other adverse effects on our business, financial condition, or operations. For example, in recent years, the U.S. EPA has conducted outreach sessions in communities located near commercial EO sterilization facilities. Such community outreach sessions have in the past, and may in the future, create community concerns and increase the risk of litigation near commercial EO sterilization facilities, including ours, notwithstanding facility compliance with applicable rules and control of emissions beyond the requirements of applicable rules.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State and local authorities, including California and the South Coast Air Quality Management District (“SCAQMD”) in Southern California, are also conducting community outreach sessions relating to EO commercial sterilization facilities. SCAQMD also adopted new regulations for EO sterilization facilities in December 2023, which required new compliance actions by September 2025. In 2024, SCAQMD published a new health risk assessment and conducted community meetings about risks related to EO emissions from Sterigenics facilities in Vernon, California, and is expected in early 2026 to do the same related to the Sterigenics facility in Ontario, California. The European Union has also been reviewing current regulations for the use of EO in EO sterilization facilities and has decided that EO as a sterilizing agent for medical devices will fall under the scope of the European Union Medical Devices Regulation, which may impose new and different regulatory requirements for the use of EO in the European Union. We expect to incur capital costs for enhancements to our equipment and to implement process automation and emission control enhancements to comply with these and other evolving requirements, and we cannot provide assurance that we will be able to timely meet all requirements. If future regulations differ from our current expectations, they may require additional modifications and capital costs beyond what we have budgeted for, which could be material. New standards for commercial EO sterilization, such as the new U.S. EPA standards based on the 2016 IRIS Assessment, could also make it more difficult and expensive to raise capital for future investments in EO sterilization facilities.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the United States, our gamma irradiation facilities are heavily regulated, including by the NRC and state regulations. These laws and regulations specify the requirements for, among other things, maximum radiation doses, system designs, safety features and alarms and employee monitoring, testing and reporting. While some specific requirements are different in the various jurisdictions other than the United States, the fundamental concepts are consistent inasmuch as all are signatories to the IAEA conventions and have adopted safety standards from the IAEA and recommendations from the ICRP. The design, construction and operation of sterilization and lab testing facilities are highly regulated and require government licenses, including environmental approvals and permits, and may be subject to the imposition of related conditions that vary by jurisdiction. In some cases, these approvals and permits entail periodic review. We cannot predict whether all licenses required for a new facility will be granted or whether the conditions associated with such licenses will be achievable. Changes in these laws and regulations have the potential to increase our costs.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27c953b2e3004595bc062f37867a09b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Additionally, our operations in the United States and the majority of our facilities outside the United States (to the extent we are processing a product in that facility, or providing lab services related to a product, that may end up in the U.S. market) are regulated by the FDA. We are also regulated by other health regulatory authorities in other countries. Specifically, these operations include some of our sterilization and product testing activities that may constitute as “manufacturing” activities and are therefore subject to FDA requirements. From time to time, the FDA issues Form 483 findings related to our operations and may issue warning letters or take other administrative or enforcement actions for noncompliance with FDA laws and regulations. The issues raised by such warning letters and related administrative actions require significant resources and time to correct. Failure to comply with regulatory requirements could have a material adverse effect on our business.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 the extent Nordion ceases to operate its facility in Kanata, Canada in the future, Nordion will be responsible for the radiological decommissioning of such facility, including in respect of the portion leased by BWX Technologies, Inc. in connection with its 2018 acquisition of the Medical Isotopes business to the extent any contamination precedes such transaction. In addition, if Sterigenics in the future ceases operating any of its irradiation facilities, it will be responsible for decommissioning costs in respect of such facilities. We currently provide financial assurance for approximately $50.3 million of such decommissioning liabilities in the aggregate in the form of letters of credit, surety bonds or other surety. Such potential decommissioning liabilities may be greater than currently estimated if additional irradiation facilities are licensed, unexpected radioactive contamination of those facilities occur, regulatory requirements change, waste volume increases, or decommissioning cost factors such as waste disposal costs increase. </w:t>
      </w:r>
    </w:p>
    <w:p>
      <w:pPr>
        <w:pStyle w:val="TextBody"/>
        <w:bidi w:val="0"/>
        <w:spacing w:lineRule="auto" w:line="288" w:before="200" w:after="283"/>
        <w:jc w:val="left"/>
        <w:rPr/>
      </w:pPr>
      <w:r>
        <w:rPr>
          <w:rFonts w:ascii="Times New Roman;serif" w:hAnsi="Times New Roman;serif"/>
          <w:b w:val="false"/>
          <w:color w:val="000000"/>
          <w:sz w:val="20"/>
        </w:rPr>
        <w:t>See Item 1,</w:t>
      </w:r>
      <w:r>
        <w:rPr>
          <w:color w:val="000000"/>
        </w:rPr>
        <w:t xml:space="preserve"> “</w:t>
      </w:r>
      <w:r>
        <w:rPr>
          <w:rFonts w:ascii="Times New Roman;serif" w:hAnsi="Times New Roman;serif"/>
          <w:b w:val="false"/>
          <w:color w:val="000000"/>
          <w:sz w:val="20"/>
        </w:rPr>
        <w:t xml:space="preserve">Business—Governmental Regulation and Environmental Matters” for more information on the regulatory requirements of our businesses. Compliance with these regulations, our own voluntary programs that relate to maintaining the safety of our employees and facilities as well as the environment, and the safety and competitiveness of our equipment, systems and facilities, may be difficult, burdensome or expensive. Any changes in these regulations, or the interpretation of such regulations or our customers’ perception of such changes could require us to make adaptations that may subject us to additional costs, and ultimate costs and the timing of such costs may be difficult to accurately predict and could be material. Regulatory agencies may refuse to grant approval or clearance or may require the provision of additional data, and regulatory processes may be time consuming and costly, and their outcome may be uncertain in some of the countries in which we operate. Failure to secure renewal of permits or tightening of restrictions within our existing permits could have a material adverse effect on our business or cause us to incur material expenses. Regulatory agencies may also change policies, adopt additional regulations or revise existing regulations, each of which could impact our ability to provide our services or increase our costs. Additionally, local regulatory authorities may change the way in which they interpret and apply local regulations. For example, in the past, officials stopped operations at one of our facilities purportedly to review our fire and building code status and certificate of occupancy and we were required to initiate and prevail in litigation to establish that we were entitled to continue to operate our facility.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failure to comply with the regulatory requirements of these agencies and officials may subject us to administratively or judicially imposed sanctions. These sanctions include, among others, warning letters, notices of violation, fines, civil penalties, criminal penalties, injunctions, debarment, product seizure or detention and total or partial suspension of operations, sale and/or promotion. While we strive to comply with these regulatory requirements, we have not always been and may not always be in compliance and, as a result, can be subject to significant civil and criminal fines and penalties, including the shutdown of our operations or the suspension of our licenses, permits or registrations. See Item 3, Legal Proceedings and Note 19, “Commitments and Contingencies,” to our consolidated financial statements and related Risk Factor “—Potential health risks associated with the use of EO may subject us to future liability claims and associated adverse effects.” The failure to receive or maintain, or delays in the receipt of, relevant U.S. or international regulatory qualifications could have a material adverse effect on our business, prospects, financial condition or results of operations. </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Safety risks associated with the transportation of potentially hazardous materials, such as EO and Co-60, may result in accidents or liabilities that materially affect our results of operations.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products, supplies and by-products are transported through a combination of ground, sea, and air transport. Co-60 and EO are radioactive and potentially combustible, respectively, and must be handled carefully and in accordance with applicable laws and regulations. An incident in the transportation of our raw materials, products and by-products or our failure to comply with laws and regulations applicable to the transfer of such products could lead to injuries or significant property damage, regulatory repercussions or difficulties fulfilling our obligations to our customers, any of which could have a material adverse effect on our business, prospects, financial condition or results of operations.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EO and Co-60 raw materials are potentially hazardous, and we are therefore subject to stringent requirements to secure these materials from theft or other unauthorized uses. If our failure to adequately secure these materials leads to them being stolen or materially damaged, our licenses to operate could be suspended, resulting in a material adverse effect to our business,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27c953b2e3004595bc062f37867a09b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prospects, financial condition or results of operations. Any such incident could also have legal consequences, such as fines and penalties for violations of regulatory requirements and/or lawsuits for personal injuries, property damage or diminution or other claims that could result in substantial liability to us. Additionally, loss of control of Co-60 sources by a customer could result in contamination and significant public health consequences. </w:t>
      </w:r>
    </w:p>
    <w:p>
      <w:pPr>
        <w:pStyle w:val="TextBody"/>
        <w:bidi w:val="0"/>
        <w:spacing w:lineRule="auto" w:line="288" w:before="200" w:after="283"/>
        <w:jc w:val="left"/>
        <w:rPr>
          <w:rFonts w:ascii="Times New Roman;serif" w:hAnsi="Times New Roman;serif"/>
          <w:b/>
          <w:i/>
          <w:color w:val="000000"/>
          <w:sz w:val="20"/>
        </w:rPr>
      </w:pPr>
      <w:bookmarkStart w:id="1" w:name="i9aa8ca5e3f2e4b5885431a97ce5256df_148615"/>
      <w:bookmarkEnd w:id="1"/>
      <w:r>
        <w:rPr>
          <w:rFonts w:ascii="Times New Roman;serif" w:hAnsi="Times New Roman;serif"/>
          <w:b/>
          <w:i/>
          <w:color w:val="000000"/>
          <w:sz w:val="20"/>
        </w:rPr>
        <w:t>Industry trends could impact the demand for our products and services and could have a material adverse effect on our business.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Industry trends that affect medical device, pharmaceutical or biotechnology companies could affect our business. The medical device industry is characterized by frequent product development and technological advances, which may reduce demand for our sterilizing and testing services if our existing services no longer meet our customers’ requirements. Any significant decrease in life science research and development expenditures by medical device, pharmaceutical or biotechnology companies, including as a result of a general economic slowdown, could in turn impact the volumes of medical products that require sterilization or lab testing services. Future demand for Co-60 or our sterilization services could also be adversely impacted by changes to preferred sterilization modalities. For example, while X-ray has yet to be widely adopted as a method of sterilization, X-ray could be adopted as an alternative to Co-60 gamma irradiation in the future because of potential concerns about the cost or availability of Co-60 or the perceived benefits of X-ray. In addition, government agencies may encourage the development of X-ray to mitigate potential risks to the supply of Co-60 or to try to reduce access to radioactive material in particular areas, which could have an adverse impact on our business.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ability to adapt our business to meet evolving customer needs depends upon the development and successful commercialization of new services, new or improved technologies and additional applications of our technology for our customers’ new products. We can give no assurance that any such new services will be successful or that they will be accepted in the marketplace. Any failure to develop or commercialize new services and technologies and any decrease in demand for our products or services could have a material adverse effect on our business, prospects, financial condition or results of operations. </w:t>
      </w:r>
    </w:p>
    <w:p>
      <w:pPr>
        <w:pStyle w:val="TextBody"/>
        <w:bidi w:val="0"/>
        <w:spacing w:lineRule="auto" w:line="288" w:before="200" w:after="283"/>
        <w:jc w:val="left"/>
        <w:rPr/>
      </w:pPr>
      <w:r>
        <w:rPr>
          <w:rFonts w:ascii="Times New Roman;serif" w:hAnsi="Times New Roman;serif"/>
          <w:b w:val="false"/>
          <w:color w:val="000000"/>
          <w:sz w:val="20"/>
        </w:rPr>
        <w:t>If changes in healthcare regulations or other developments in the healthcare industry, including concerns around single-use medical devices were to lead to a material reduction in medical procedures or use of medical devices, demand for our services could be adversely affected. For more information, see Risk Factor “— Severe health events or environmental events, including impacts from climate change, and natural disasters, could have material adverse effects on our business, financial condition and results of operations.” Demand for our products and services may also be affected by changes from time to time in the laws and regulations that govern our operations</w:t>
      </w:r>
      <w:r>
        <w:rPr>
          <w:color w:val="000000"/>
        </w:rPr>
        <w:t xml:space="preserve"> </w:t>
      </w:r>
      <w:r>
        <w:rPr>
          <w:rFonts w:ascii="Times New Roman;serif" w:hAnsi="Times New Roman;serif"/>
          <w:b w:val="false"/>
          <w:color w:val="000000"/>
          <w:sz w:val="20"/>
        </w:rPr>
        <w:t xml:space="preserve">and industry, including the Patient Protection and Affordable Care Act, as amended by the Health Care and Education Reconciliation Act, which in turn may impact industry trends. New regulatory requirements could lead to changes in the medical device industry and the behavior of our customers that are difficult to predict but could have a material adverse effect on our business, prospects, financial condition or results of operations. Further, if any significant disposal restrictions or requirements are imposed that materially increase the cost or administrative burden of the disposal process for single-use medical devices, hospitals and other end-users of such devices might decrease their use of such devices in favor of reusable medical products, which would decrease the demand for our services, which could in turn have a material adverse effect on our business, prospects, financial condition or results of operations. </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 xml:space="preserve">Our business is highly competitive, and if we fail to compete successfully, our business, prospects, financial condition or results of operations may be materially adversely affected.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face competition from other providers of outsourced sterilization and lab services. In addition, some manufacturers have developed or are developing in-house sterilization and lab testing and related capabilities, and further consolidation within our industry and within our customers’ industries could impact our ability to compete. Further, our competitors and potential competitors are attempting to develop alternate technologies, in particular improved X-ray sterilization technologies, which would not rely on the availability of Co-60. If our competitors or manufacturers significantly expand their sterilization or lab testing capacities, including as a result of these alternative technologies, this could lead to price fluctuations and competitive pricing pressure, diminish our profitability or result in changes in our customer relationships across our business segments. We generally compete on the basis of quality, reputation, the cost of sterilization services, the cost of transportation to and from the sterilization facility and processing turnaround time. If our services, supply, support, distribution or cost structure do not enable us to compete successfully, including against alternative technologies, or we are unable to successfully develop and adopt alternative technologies ourselves, our business, prospects, financial condition or results of operations could be materially adversely affected. The expansion of alternative sterilization technologies may require us to build new facilities, which can be time-consuming and costly.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If Co-60 source suppliers in other countries, including China, India, Argentina or Russia, significantly increase their involvement in the global Co-60 sources market, this could have a material adverse effect over the long-term on our business,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27c953b2e3004595bc062f37867a09b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prospects, financial condition or results of operations. Several customers of our Nordion business are themselves providers of sterilization services and therefore are competitors of our Sterigenics business. If these customers were to shift to a different supplier of Co-60 because they prefer to use a supplier not affiliated with us or for any other reason, this could materially adversely affect our business, prospects, financial condition or results of operations. Further, if a Nordion customer were to lose market share to a competitor using an alternative sterilization provider, we would similarly lose sales volumes, which may have a material adverse effect on our business, prospects, financial condition or results of operations.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Additionally, Nelson Labs faces a wide variety of competitors, including small, specialized niche players, large, broad multinational corporations and internal laboratories that can perform the services that we provide. Shifts in the market that diminish our customers’ preference for outsourcing their testing and large, well-funded competitors entering more directly into the specialized lab services that we provide may adversely affect our business. </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The price of our input costs, including labor, raw materials and energy, are subject to inflation and other market risks and our ability to pass through increases in our input costs is highly dependent on market conditions.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Our aggregate direct input costs, including labor, raw materials and energy, represent a significant portion of our cost of revenues. We have experienced and may continue to experience, volatility and increases in the price of certain of these costs as a result of global market and supply chain disruptions, as well as the broader inflationary environment. Additionally, the cost of energy for some of our facilities is regulated, and we are required to work with the local utility provider, which prevents us from contracting for a lower rate or seeking an alternate supplier. Although we have attempted, and will continue to attempt, to match increases in the prices of labor, direct materials or energy with corresponding increases in prices for our products and services, our ability to pass through increases in our input costs is highly dependent upon market conditions and we may not be able to immediately raise our prices, if at all. Most of our customer contracts for sterilization services allow us to pass through all direct material costs, but we may not be able to immediately or completely implement increases in the prices of our products and services. Specifically, there is a risk that raising prices charged to our customers could result in a loss of sales volume. Reactions or anticipated reactions by our customers and competitors to our price increases could cause us to reevaluate and possibly reverse or reduce such price increases. We also may not be able to accurately predict the volume impact of price increases, especially if our competitors are able to adjust to such input cost volatility more successfully. Material increases in the price of labor, raw materials, or energy could have a material adverse effect on our business, prospects, financial condition or results of operations, particularly if we are unable to increase the prices to our customers of our products or services to offset inflationary cost trends. Additionally, if we are unable to achieve cost savings to offset such cost increases, our profits and operating results could be adversely affected.</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 xml:space="preserve">Our operations are subject to a variety of business continuity hazards and risks, including supply chain disruptions due to geopolitical uncertainty and federal government shutdowns, and our reliance on the use and sale of products and services from single locations, any of which could interrupt production or operations or otherwise adversely affect our performance, results of operations or value.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operations and our supplier and customers’ operations are subject to business continuity hazards and risks that include explosions, fires, earthquakes, inclement weather and other natural disasters; utility, equipment or other mechanical failures; unscheduled downtime; labor difficulties; disruption of communications; security breaches or other workplace violence events; changes in regulations, including sanctions, export and import controls and other trade restrictions; changes in the use of government-owned reactors, such as repurposing nuclear facilities; other governmental action; federal government shutdowns; and pandemics or other public health crises.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It can be costly to ship products long distances for the purpose of sterilization; therefore, our ability to offer a full range of sterilization services close to our customers’ manufacturing and distribution centers worldwide is critical for our business. An adverse occurrence at one of our facilities or the facilities of a supplier or customer could damage our business. While other facilities in our network may have the capacity to service our customers that had been served by an affected facility, we may not be able to transfer all interrupted services. The stringent regulations and requirements to which we are subject regarding the manufacture of our products and provision of services and the complexities involved with processing Co-60 may prevent or delay us from establishing additional or replacement sources for our production facilities. Any event, including those listed above, that results in a prolonged business disruption or shutdown to one or more of our facilities, or the facilities of a supplier or customer, could create conditions that prevent, or significantly and adversely affect, our receiving, processing, manufacturing or shipping products at existing levels, or at all. Such events could adversely affect our sales, increase our expenses, create potential liabilities and/or damage our reputation, any of which could have a material adverse effect on our business, prospects, financial condition or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27c953b2e3004595bc062f37867a09b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Supply chain disruptions related to geopolitical uncertainty and conflicts, federal government shutdowns, severe health events or a natural disaster, may impair or delay our ability to obtain sufficient quantities of certain materials through our ordinary supply channels and cause us to incur higher costs by procuring raw materials from other sources in order to compensate for such delays or lack of availability. For example, the prolonged U.S. federal government shutdown that ended in November 2025 had supply chain disruptions resulting from worker shortages and delays in transportation services. Supply chain disruptions such as these may impair or delay our customers’ ability to provide us work or products for processing or affect the availability, quality and pricing of materials used in the operation of our business or our customers’ businesses. If we are not able to successfully mitigate such supply chain related risks, we could experience disruptions in production or increased costs, which may result in decrease in our gross margin or reduced sales, and have a material adverse effect on our business, results of operations and financial condition.</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Governmental action may disrupt the operations of our facilities that process potentially hazardous materials. For example, in June 2021, in a lawsuit related to Sterigenics’ facility in Santa Teresa, New Mexico, the court granted a motion by New Mexico’s Attorney General for a preliminary injunction prohibiting Sterigenics from allowing any uncontrolled emission or release of EO from that facility. In December 2021, the court further established protocols to monitor Sterigenics’ compliance with the preliminary injunction. Although operations at the Santa Teresa facility comply with these orders, operations at the facility may be negatively impacted if Sterigenics is unable to continue to comply. Similar actions in the future by local, state or federal officials might disrupt or shut down operations or otherwise adversely impact the production or profitability of our facilities or operations as a whole.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We obtain Co-60 from a limited number of suppliers. If any of the facilities or reactors from which we obtain Co-60 were to be seriously damaged or have their production materially decrease due to a natural disaster or other adverse occurrence, or if we become unable to transact with one of our suppliers of Co-60 due to expanded sanctions, our access to Co-60 would be materially affected and we may be unable to meet all the needs of our customers. See related Risk Factor “—We depend on a limited number of counterparties to provide the materials and resources we need to operate our business. Any disruption in the availability of, or increases in the price of, EO, Co-60 or our other direct materials, services and supplies, including as a result of geopolitical instability and sanctions against Russia by the United States, Canada, the United Kingdom and/or the European Union, or sanctions by Russia against those countries, may have a material adverse effect on our operating results.”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While we maintain insurance policies covering, among other things, physical damage, premises liability, business interruptions and liability resulting from our services in amounts that we believe are customary for our industries, our insurance coverage may be inadequate or unavailable and we could incur uninsured losses and liabilities arising from such events.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 xml:space="preserve">We may be adversely affected by global and regional economic and political instability.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may be adversely affected by global and regional economic and political conditions. For example, the uncertainty or deterioration of the global economic and political environment could adversely affect us. Russia’s invasion of Ukraine has significantly elevated global geopolitical tensions and continues to cause instability and volatility in global markets. The United States, Canada, the United Kingdom and the European Union have implemented broad sanctions targeting Russia, which have the potential to disrupt our supply of Co-60 from Russia. Geopolitical conflicts have caused and, in the future, may cause instability and volatility in global markets and adversely impact global supply chains, including potentially disrupting shipping channels. In addition, the United States recently has imposed significant duties and tariffs and implemented other restrictions on trade with many countries, including Canada, Mexico, China, and various other countries in Europe, Latin America and Asia, which have disrupted and increased the cost of trade between the United States and other countries. In response, many countries have implemented or increased tariffs on imports into their countries. Such tariffs and trade restrictions may negatively impact the cost or availability of our supplies, the cost or availability of the supplies we provide to our customers, or our customers’ businesses in ways that impact us adversely.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Any such disruptions could have a material adverse effect on our business, prospects, financial condition or results of operations. See related Risk Factors “—We depend on a limited number of counterparties to provide the materials and resources we need to operate our business. Any disruption in the availability of, or increases in the price of, EO, Co-60 or our other direct materials, services and supplies, including as a result of current geopolitical instability against Russia by the United States, Canada, the United Kingdom, and/or the European Union, or sanctions by Russia against those countries, may have a material adverse effect on our operating results.” and “—We conduct sales and distribution operations on a worldwide basis and are subject to a variety of risks associated with doing business outside the United States.”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potential worsening of macro-economic conditions, including changes in tariff and trade policies, slower growth or recessionary conditions, the inflationary environment, tighter credit, high interest rates and currency fluctuations, may cause customers to modify, delay or cancel plans to purchase our products and services and suppliers may significantly and rapidly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27c953b2e3004595bc062f37867a09b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increase their prices or reduce their output because of cash flow problems. Any inability of current or potential customers to purchase or pay for our products because of such declining economic conditions or changes in spending patterns at medical device, pharmaceutical and biotechnology companies may have a negative impact on our business, prospects, financial condition or results of operations. Overall demand for our products could be reduced as a result of a global economic recession or political unrest, especially in such areas as the medical device, pharmaceutical, food safety and other end markets that we serve. </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If we are unable to increase capacity at existing facilities and build new facilities in a timely and cost-effective manner, we may not achieve our expected revenue growth or profitability or such revenue growth and profitability, if any, could be delayed.</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growth strategy depends on expanding capacity in Europe, the Americas and Asia, which includes building new facilities and maintaining and expanding existing facilities. The construction or expansion of modern and safe sterilization facilities requires significant expenditures. Delay in the review and licensing process for a new facility could impair or delay our ability to develop that facility or increase the cost so substantially that the facility becomes unattractive to us. Any failure to procure and maintain the necessary licenses and equipment would adversely affect ongoing development, construction and continuing operation of our facilities. Additionally, even when we maintain the necessary licenses and equipment and comply with applicable regulations, we still may be unable to maintain or expand our operations at existing facilities, or otherwise execute on our growth strategy, because of negative publicity or community resistance. Suspensions and closures of our facilities have impacted and may continue to impact our results of operations, and the effects could be material. New facilities may not meet our return expectations due to schedule delays, diversion of management’s attention, cost overruns or revenue shortfalls, or they may not generate the capacity that we anticipate or result in the receipt of revenue in the originally anticipated time period or at all. We may not maintain revenue growth or profitability, or such growth, if any, could be delayed if we are not successful in continuing to expand capacity. Additionally, if future demand trends warrant capacity in geographic areas that we have not targeted for new growth, we may be unable to capitalize on opportunities in a timely manner. </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 xml:space="preserve">We depend upon our ability to attract and retain highly skilled employees. If we fail to attract and retain the talent required for our business, our operations could be adversely affected and our business could be materially harmed.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depend to a significant degree on our ability to hire and retain highly qualified personnel with expertise in our industries. The market for qualified employees in the industries in which we operate is competitive and our ability to operate, compete and grow our business depends on our ability to hire and retain qualified personnel in all areas of our organization. If our recruiting efforts are less successful, or if we cannot retain our key personnel, performance of our operations may suffer and we may be delayed or prevented from achieving our business objectives. If we are unable to attract and retain highly skilled employees, our inability to do so could have a material adverse effect on our business, prospects, financial condition or results of operations. </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 xml:space="preserve">We occupy many of our facilities under long-term leases, and we may be unable to renew our leases at the end of their terms.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Many of our facilities are located on leased premises. These leases vary in duration, with expiration dates ranging from the near term through 2046, most with options to renew for specified periods of time. At the end of the lease term and any renewal period for a facility, we may be unable to renew the lease without substantial additional cost, if at all. If we are unable to renew our facility leases, we may be required to relocate or close a facility. Relocating a facility involves significant expense in connection with the movement and installation of specialized equipment and any necessary recertification or licensing with regulatory authorities. Even briefly closing a facility to relocate would reduce the sales that the facility would have contributed to our revenues and could negatively impact our customer relations. Any such relocation or closure could have a material adverse effect on our business, prospects, financial condition or results of operations. </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We conduct sales and distribution operations on a worldwide basis and are subject to a variety of risks associated with doing business outside the United States.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maintain significant international operations, including operations in China, Brazil, Canada, Mexico, Costa Rica, the European Union and other countries in Europe and Asia. As a result, we are subject to a number of risks and complications associated with international sales, services and other operations, as well as risks associated with U.S. foreign policy. These include: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the imposition of or increases in duties and tariffs on foreign imports into the United States, particularly from Canada, China and Mexico, by the United States, as well as duties and tariffs and any retaliatory measures imposed by Canada or other countries, as well as other new restrictions on international trade, and the Company’s ability or inability to pass through such price increases to customers or manage any such other restrictions;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27c953b2e3004595bc062f37867a09bd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difficulties associated with compliance with numerous, potentially conflicting and frequently complex and changing laws in multiple jurisdictions relating to changes to international trade agreements and treaties, environmental matters, intellectual property, privacy and data protection, corrupt practices, embargoes, trade sanctions, competition, employment and licensing, among other things;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general economic, social and political conditions in countries where we operate, including international and U.S. trade and sanctions policies and currency exchange rate fluctuations;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tax and other laws that restrict our ability to use tax credits, offset gains or repatriate funds;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currency restrictions, transfer pricing regulations and adverse tax consequences, which may affect our ability to transfer capital and profits;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inflation, deflation and stagflation in any country in which we have an operating facility; and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foreign customers with longer payment cycles than customers in the United States.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operate in a number of countries whose governments and companies do not always share the depth or breadth of the commitment to anti-corruption and ethical behavior that is required by U.S. laws, our Global Code of Conduct and other corporate policies. Based on the nature of our products, our business activities involve interaction with government agencies, public officials and state-owned enterprises. We are subject to the risk that we, our U.S. employees, our employees located in other jurisdictions, or third parties we engage to do work on our behalf may take actions determined to be in violation of anti-corruption laws in the United States or the jurisdictions in which we conduct business. The U.S. Foreign Corrupt Practices Act (the “FCPA”) and the Canadian Corruption of Foreign Public Officials Act (the “CFPOA”) prohibit corruptly providing anything of value to foreign officials (including employees of state-owned enterprises) for the purposes of obtaining or retaining business or securing any improper business advantage. The provisions of the U.K. Bribery Act of 2010 (the “Bribery Act”) extend beyond bribery of foreign public officials and are more onerous than the FCPA in a number of other respects. Any violation of the FCPA, the CFPOA, the Bribery Act or any similar anti-corruption law or regulation could result in substantial fines, sanctions or civil and/or criminal penalties, debarment from business dealings with certain governments or government agencies or restrictions on the marketing of our products in certain countries, which could harm our business, financial condition or results of operations. Violations of anti-corruption laws or our related internal policies could also substantially harm our reputation and operations. Further, detecting, investigating and resolving actual or alleged violations is expensive and can consume significant time and attention of our senior management.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Compliance with multiple, and potentially conflicting, international laws and regulations, including anti-corruption laws and exchange controls, at times may be difficult, burdensome or expensive. While our employees and agents are required to comply with these laws, our internal policies and procedures may not always prevent violations. Further, in connection with past and future acquisitions by us, there is a risk of successor liability relating to such laws in connection with prior actions of an acquired company. Such matters or allegations related to such matters could adversely affect our reputation and the burden and cost associated with defending or resolving such matters could adversely affect our business, prospects, financial condition or results of operations. </w:t>
      </w:r>
    </w:p>
    <w:p>
      <w:pPr>
        <w:pStyle w:val="TextBody"/>
        <w:bidi w:val="0"/>
        <w:spacing w:lineRule="auto" w:line="288" w:before="200" w:after="283"/>
        <w:jc w:val="left"/>
        <w:rPr/>
      </w:pPr>
      <w:r>
        <w:rPr>
          <w:color w:val="000000"/>
        </w:rPr>
        <w:t> </w:t>
      </w:r>
      <w:r>
        <w:rPr>
          <w:rFonts w:ascii="Times New Roman;serif" w:hAnsi="Times New Roman;serif"/>
          <w:b w:val="false"/>
          <w:color w:val="000000"/>
          <w:sz w:val="20"/>
        </w:rPr>
        <w:t xml:space="preserve">Further, as a result of our global operations, we generate a significant portion of our revenue and incur a significant portion of our expenses in currencies other than the U.S. dollar, including the euro, the Brazilian real, the British pound sterling, the Chinese yuan, the Thai baht, the Mexican peso, the Danish krone, the Costa Rica colon and the Canadian dollar. Our results of operations are impacted by currency exchange rate fluctuations to the extent that we are unable to match net revenues received in foreign currencies with expenses incurred in the same currency. For example, where we have significantly more expenses than net revenues generated in a foreign currency, our profit from operations in that location would be adversely affected in the event that the U.S. dollar depreciates against that foreign currency. </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 xml:space="preserve">We are subject to significant regulatory oversight of our import and export operations due to the nature of some of our product offerings.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products and materials needed to make our products are subject to U.S. and Canadian laws and regulations that may limit, restrict or require a license to import or export (or re-export from other countries). We are also subject to the export and import laws of other foreign jurisdictions in which we operate, into which we sell our products and from which we source our materials, including Co-60. In addition, if we introduce new products or would like to participate in new capital investment projects, we may need to obtain licenses or approvals from the United States, Canada and other governments to ship products to or share technology or intellectual property with third parties located in foreign countries. Because of increasing security controls and regulations regarding the shipment of materials including Co-60, we are likely to encounter additional regulations affecting the transportation, storage, sale and import/export of radioactive materials. Further, any delay or inability to obtain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27c953b2e3004595bc062f37867a09b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these permits and licenses could delay or prevent us from fulfilling our obligations to our customers or suppliers, which could harm our business, financial condition or results of operations.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Additionally, the U.S. Department of the Treasury’s Office of Foreign Assets Control and other relevant agencies of the U.S. government administer laws and regulations that restrict U.S. persons and, in some instances, non-U.S. persons, from conducting activities, transacting business with or making investments in certain countries, or with governments, entities and individuals subject to U.S. economic sanctions. Our international operations subject us to these complex laws and regulations, which restrict our business dealings with certain countries, governments, entities and individuals and are constantly changing. Penalties for non-compliance with these complex laws and regulations can be significant and include substantial fines, sanctions or civil and/or criminal penalties and violations can result in adverse publicity, which could harm our business, financial condition or results of operations. </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 xml:space="preserve">Severe health events or environmental events, including impacts from climate change, and natural disasters, could have material adverse effects on our business, financial condition and results of operations.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COVID-19 pandemic affected our business operations, including secondary effects such as increased raw material prices, labor shortages, and supply chain disruptions. If similarly severe global health crises occur in the future, the impact and effects on our business, operations and results of operations could also be material.</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Extreme environmental events, including impacts from climate change, could adversely affect our operating results and financial condition. We have operations located in regions that have been, and may in the future be, exposed to extreme weather events and other natural disasters, including California, Florida, and Texas. A catastrophic earthquake, fire, flood, tsunami or other weather event, widespread power loss or telecommunications failure, war or other significant event could adversely affect our operations, particularly if such event were to destroy or disrupt any of our facilities. Any significant impact on our ability to conduct normal operations at our facilities could cause significant capacity constraints and, as a result, have a material adverse effect on our business, results of operations and financial condition.</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Any severe health or environmental event including as described above may also affect our suppliers or customers, and could disrupt our access to raw materials and customer product processing and exacerbate supply-chain related risks. See related Risk Factor “—Our operations are subject to a variety of business continuity hazards and risks, including supply chain disruptions due to geopolitical uncertainty and federal government shutdowns, and our reliance on the use and sale of products and services from single locations, any of which could interrupt production or operations or otherwise adversely affect our performance, results of operations or value.”</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Our business may be subject to system interruptions, cybersecurity incidents and unauthorized data disclosures.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Like other companies, we increasingly rely on IT systems and networks and related services to conduct business, some of which are managed, hosted and/or provided by our third-party business partners. Our IT systems and infrastructure, and those of our third-party business partners, are potentially vulnerable to breakdowns or other interruptions by fire, power loss, system malfunctions and other events. Our IT systems and infrastructure are also subject to cybersecurity threats. Cybersecurity incidents and similar attacks vary in their form and can include the deployment of harmful malware, viruses, or ransomware, denial-of-service attacks, and other attacks, which may affect business continuity and threaten the availability, confidentiality and integrity of our systems and information. Cybersecurity incidents can also include employee or personnel failures, fraud, phishing or other social engineering attempts or other methods to cause confidential information, payments, account access or access credentials, or other data to be transmitted to an unintended recipient. In addition, the rapid evolution and increased adoption of AI technologies may increase our cybersecurity risks and the cybersecurity risks of our third-party business partners. Like other companies with international operations, we have been subjected to targeted and non-targeted attacks and other cybersecurity incidents and continue to face numerous cybersecurity threats on a regular basis, including regular attempts to penetrate our IT infrastructure and breaches of our security systems by our employees, both accidental and intentional. Our suppliers, contractors, service providers, and other third parties with whom we do business also experience cybersecurity threats and attacks that are similar in frequency and sophistication. Cybersecurity threat actors also may attempt to exploit vulnerabilities in software that is commonly used by companies in cloud-based services and bundled software. Our suppliers, contractors, service providers, and other third-party business partners also experience cybersecurity threats and cybersecurity incidents that are similar in frequency and sophistication. In many cases, the Company relies on controls put in place by our suppliers, contractors, service providers and other third-party business partners to defend against and otherwise respond to cybersecurity threats and cybersecurity incidents, which may prove insufficient.</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Despite the Company’s security measures, cybersecurity threats, cybersecurity incidents, outages, malfunctions, or disruptions involving our systems or those of our third party business partners, or any failure by us or our third-party business partners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27c953b2e3004595bc062f37867a09b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effectively address, enforce or maintain our information systems may adversely affect our business strategy, results of operations or financial condition, including the release of sensitive data to unauthorized persons or to the public or the alteration or corruption of data or systems. We could also experience a business interruption, information theft or reputational damage from industrial espionage attacks, ransomware, other malware or other cybersecurity incidents or data breaches, which may compromise our, or our third-party business partners’, system infrastructure or lead to outages, data loss (whether temporary or permanent), data breaches, either internally or at our third-party providers or other business partners. Such cybersecurity incidents could compromise our trade secrets or other confidential information and result in such information being disclosed to third parties and becoming less valuable. Breaches in security, system interruptions, unauthorized disclosures of data and other cybersecurity incidents, whether perceived or actual, could adversely affect our businesses, assets, revenues, brands and reputation and result in sanctions or fines, litigation, including individual claims or consumer class actions, commercial litigation, regulatory proceedings and administrative, civil or criminal investigations, increased insurance premiums, remediation efforts, indemnification expenditures, lost revenues, payment of ransom and other potential liabilities. As detailed in Item 1C, “Cybersecurity,” we have taken steps to protect the security and integrity of the information we collect and have policies and procedures in place dealing with data privacy and security and have yet to experience any material cybersecurity incidents that have caused us to incur any material expenses or materially affected our business strategy, results of operations or financial conditions. But there can be no assurance that our efforts will prevent material breakdowns, system failures, breaches in our systems or other cybersecurity incidents or otherwise be fully effective. Any such breakdown, breach or cybersecurity incident could adversely affect our business, prospects, financial condition or results of operations, and our cyber insurance may not cover such risks or may be insufficient to compensate us for losses that may occur. </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We may be incorporating AI technologies into our products, services and processes, which may present business, compliance and reputational risks.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introduction of AI and machine-learning technologies, into internal processes, third-party services and/or new and existing offerings may result in new or expanded risks and liabilities, including due to enhanced governmental or regulatory scrutiny, litigation, compliance issues, ethical concerns, confidentiality or security risks, as well as other factors that could adversely affect our business, reputation and financial results. In addition, our personnel could, unbeknownst to us, improperly utilize AI and machine learning-technology while carrying out their responsibilities. The use of AI in third-party services and the development of our products and services could also cause loss of intellectual property, as well as subject us to risks related to intellectual property infringement or misappropriation, data privacy and cybersecurity. The use of AI can lead to unintended consequences, including generating content that appears correct but is factually inaccurate, misleading or otherwise flawed, or that results in unintended biases and discriminatory outcomes, which could harm our reputation and business and expose us to risks related to inaccuracies or errors in the output of such technologies. The Company has established a cross-functional AI committee intended to support the identification and mitigation of risks associated with incorporating AI technologies into our processes.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 xml:space="preserve">Part of our growth strategy is to pursue strategic transactions, including acquisitions, which subjects us to risks that could harm our business and we may not be able to find suitable acquisition targets or integrate strategic acquisitions successfully into our existing business.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As part of our strategy, we have in the past grown, and may in the future seek to grow our business through acquisitions, and any such acquisition may be significant. Any future growth through acquisitions will depend in part upon the continued availability of suitable acquisition candidates at favorable prices and upon advantageous terms and conditions, which may not be available to us, as well as sufficient funds to complete these acquisitions from our cash on hand, cash flow from operations, existing debt facilities and additional indebtedness.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Not only is the identification of such suitable acquisition candidates difficult and competitive, but these transactions, including the acquisitions completed in recent years also involve numerous risks, including the diversion of management’s attention and their ability to: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successfully integrate acquired facilities, companies, products, systems and personnel into our existing business, especially with respect to businesses or operations that are outside of the United States;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minimize any potential interruption to our ongoing business;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successfully enter categories and markets in which we may have limited or no prior experience, and ensure compliance with the regulatory requirements for such categories and markets;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achieve expected synergies and obtain the desired financial or strategic benefits;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detect and address any financial or control deficiencies of the acquired company;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27c953b2e3004595bc062f37867a09bd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retain key relationships with employees, customers, partners and suppliers of acquired companies as well as our own employees, customers, partners and suppliers; and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maintain uniform compliance standards, controls, procedures and policies throughout acquired companies.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Companies, businesses or operations acquired or joint ventures created may not be profitable or may not achieve revenue and profitability levels sufficient to justify the investments made. Future acquisitions could also result in the incurrence of additional indebtedness subject to the restrictions contained in the documents governing our then-existing indebtedness. See related Risk Factor “—Our significant degree of leverage could adversely affect our ability to raise additional capital to fund our operations, limit our ability to react to challenges facing our Company or broader changes in our industry or the economy, expose us to interest rate risk and prevent us from meeting our obligations under our existing and future indebtedness.”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Future acquisitions could also result in the assumption of contingent liabilities, material expenses related to certain intangible assets, increased operating expenses and compliance issues under international laws and regulations, including antitrust laws, anti-corruption laws, the FCPA, the CFPOA, the Bribery Act and similar anti-bribery laws, which could adversely affect our business, prospects, financial condition or results of operations. In addition, to the extent that the economic benefits associated with any of our acquisitions diminish in the future, we may be required to record additional write-downs of goodwill, intangible assets or other assets associated with such acquisitions, which could adversely affect our business, prospects, financial condition or results of operations.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Certain of the acquisition agreements by which we have acquired companies require the former owners to indemnify us against certain liabilities related to the operation of the companies before we acquired them. In most of these agreements, however, the liability of the former owners is limited, and certain former owners may be unable to meet their indemnification responsibilities. There is no assurance that these indemnification provisions will protect us fully, or at all, and as a result we may face unexpected liabilities that adversely affect our business, prospects, financial condition or results of operations. Our ability to realize the benefits we anticipate from our strategic transactions, including acquisition activities, anticipated cost savings and additional sales opportunities, will depend in large part upon whether we are able to integrate such businesses efficiently and effectively. If we are unable to successfully integrate the operations of acquired businesses into our business or on the timeline we expect, we may be unable to realize the sales growth, cost synergies and other anticipated benefits we expect to achieve as a result of such transactions and our business, prospects, financial condition or results of operations could be adversely affected. </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 xml:space="preserve">Our internal control over financial reporting may not be effective and our independent registered public accounting firm may not be able to certify as to their effectiveness, which could have a significant and adverse effect on our business and reputation.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Sarbanes-Oxley Act of 2002, we furnished a report by our management on the effectiveness of our internal control over financial reporting as of December 31, 2025. This assessment is required to include disclosure of any material weaknesses identified by our management in our internal control over financial reporting. Our independent registered public accounting firm attested to the effectiveness of our internal controls as of December 31, 2025.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future periods, if we identify a material weakness in connection with our ongoing assessment and we fail to remediate the identified material weakness within the prescribed period, we will be unable to assert that our internal control over financial reporting is effective. We cannot be certain that there will not be material weaknesses or significant deficiencies in our internal control over financial reporting in the future. Any failure to maintain internal control over financial reporting could severely inhibit our ability to accurately report our financial condition or results of operations. In addition, we may be required to incur costs in improving our internal control system and hiring additional personnel. If we are unable to conclude that our internal control over financial reporting is effective, or if our independent registered public accounting firm determines we have a material weakness in our internal control over financial reporting, we could lose investor confidence in the accuracy and completeness of our financial reports, the market price of shares of our common stock could decline and we could be subject to sanctions or investigations by Nasdaq, the SEC or other regulatory authorities. Failure to remedy any material weakness in our internal control over financial reporting, or to implement or maintain other effective control systems required of public companies, could also restrict our future access to the capital markets. </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We rely on intellectual property rights to maintain our competitive position and third parties have claimed in the past, and may claim in the future, that we infringe or misappropriate their intellectual property rights.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rely on proprietary technology and are dependent on our ability to protect such technology. We rely primarily on trade secrets and non-disclosure and confidentiality arrangements to protect our intellectual property rights, including such rights related to our Nelson Labs business and its lab testing services. The efforts we have taken to protect our intellectual property and proprietary technology may not be sufficient or effective. Third parties, including current or former employees, consultants,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27c953b2e3004595bc062f37867a09b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contractors, customers or partners, who have access to our confidential information (including our trade secrets), may unintentionally or willfully disclose our confidential information to others, and there can be no assurance that our trade secret rights and non-disclosure and confidentiality arrangements will provide meaningful protection of our proprietary technology. There can also be no assurance that others will not independently develop similar or superior technologies or duplicate any technology developed by us. Effective protection of intellectual property rights may not be available in every jurisdiction in which our products and services are made available and monitoring unauthorized use and disclosures of our proprietary technology or confidential information can be difficult and expensive. Actions to enforce our intellectual property rights could lead to disputes with third parties, including our customers, and could impact our future ability to gain business. Furthermore, legal proceedings to protect or enforce our intellectual property rights could result in narrowing the scope of our intellectual property rights or substantial cost to us, and they may be time consuming and divert resources and the attention of management and key personnel, and the outcomes of such actions may be unpredictable.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Additionally, we cannot be certain that the conduct of our business does not and will not infringe or misappropriate intellectual property rights of others. From time to time, we may become subject to claims, allegations and legal proceedings, including by means of counterclaims, that we infringe or misappropriate intellectual property or other proprietary rights of third parties. For example, in December 2024, Sterigenics Petit Rechain (“Sterigenics PR”) was served with Writs of Summons in actions filed in Brussels, Belgium, in which the complainant alleges that the plaintiff’s intellectual property rights in certain products are being infringed by Sterigenics PR and by products of two Sterigenics PR customers. Such legal proceedings involving intellectual property rights are highly uncertain, can involve complex legal and scientific questions and may divert resources and the attention of management and key personnel. Our failure to prevail against infringement or misappropriation claims brought against us could also result in judgments awarding substantial damages against us, including possible treble damages and attorneys’ fees, and could result in reputational harm. Judgments that result in equitable or injunctive relief could cause us to delay or cease selling or providing certain products or services or otherwise harm our operations. We also may have to seek third party licenses to intellectual property, which may be unavailable, require payment of significant royalties or be available only at commercially unreasonable, unfavorable or otherwise unacceptable terms.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If we are unable to adequately protect, establish, maintain or enforce our intellectual property rights or if we are subject to any infringement or misappropriation claims, our business, prospects, financial condition or results of operations may be adversely affected. </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 xml:space="preserve">We are subject to complex and rapidly evolving data privacy and security laws and regulations, and any ineffective compliance efforts with such laws and regulations may adversely impact our business.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must comply with laws and regulations of federal and state governments in multiple jurisdictions governing the collection, dissemination, retention, access, use, protection, security and disposal of personal data, which mostly consists of our employees’ data. The interpretation and application of many existing or recently enacted privacy and data protection laws and regulations in the United States, the European Union and elsewhere are uncertain and fluid, and it is possible that such laws and regulations may be interpreted or applied in a manner that is inconsistent with our existing practices. Companies are under increased regulatory scrutiny relating to data privacy and security. Any actual or perceived breach of such laws or regulations may subject us to claims and may lead to administrative, civil or criminal liability, as well as reputational harm. Moreover, these laws are evolving and are generally becoming stricter. For example, activities conducted from our European Union facilities or related to products and services that we may offer to European Union users or customers are subject to the General Data Protection Regulation (Regulation (EU) 2016/679) (“GDPR”), which provides for enhanced data privacy obligations and fines of up to the higher of 4% of annual worldwide revenues or €20 million. The GDPR was transposed into United Kingdom domestic law following the United Kingdom’s exit from the European Union, and the UK GDPR supplements the United Kingdom’s Data Protection Act of 2018. The UK GDPR mirrors the compliance requirements and fine structure of the GDPR. Outside of the United States, United Kingdom and the European Union, many jurisdictions have adopted or are adopting new data privacy laws that impose further onerous compliance requirements, such as data localization, which prohibit companies from storing outside the jurisdiction data relating to resident individuals. The proliferation of such laws may result in conflicting and contradictory requirements and there can be no assurance that the measures we have taken will be sufficient for compliance with such various laws and regulations. Complying with these various laws is an ongoing commitment and could cause us to incur substantial costs or require us to change our business practices in a manner adverse to our business. Privacy-related claims or lawsuits initiated by governmental bodies, employees, customers or third parties, whether meritorious or not, could adversely affect our businesses, assets, revenues, brands and reputation and result in fines, litigation, regulatory proceedings, regulatory investigations, increased insurance premiums, remediation efforts, indemnification expenditures, lost revenues and other potential liabilities. We take steps to comply with applicable data privacy and security laws, regulations and standards and applicable privacy policies, but there can be no assurance that our compliance efforts will be effective. Any such failure to comply could adversely affect our business, prospects, financial condition or results of operations.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27c953b2e3004595bc062f37867a09b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 xml:space="preserve">We have a history of net losses and may not maintain profitability in future periods. </w:t>
      </w:r>
    </w:p>
    <w:p>
      <w:pPr>
        <w:pStyle w:val="TextBody"/>
        <w:bidi w:val="0"/>
        <w:spacing w:lineRule="auto" w:line="288" w:before="200" w:after="283"/>
        <w:jc w:val="left"/>
        <w:rPr/>
      </w:pPr>
      <w:r>
        <w:rPr>
          <w:rFonts w:ascii="Times New Roman;serif" w:hAnsi="Times New Roman;serif"/>
          <w:b w:val="false"/>
          <w:color w:val="000000"/>
          <w:sz w:val="20"/>
        </w:rPr>
        <w:t>We have had net operating losses at times in the past. Although we reported net income attributable to Sotera Health Company of $77.9 million and $44.4 million</w:t>
      </w:r>
      <w:r>
        <w:rPr>
          <w:color w:val="000000"/>
        </w:rPr>
        <w:t xml:space="preserve"> </w:t>
      </w:r>
      <w:r>
        <w:rPr>
          <w:rFonts w:ascii="Times New Roman;serif" w:hAnsi="Times New Roman;serif"/>
          <w:b w:val="false"/>
          <w:color w:val="000000"/>
          <w:sz w:val="20"/>
        </w:rPr>
        <w:t xml:space="preserve">for the years ended December 31, 2025 and 2024, respectively, we may not be able to maintain profitability in future periods. Our ability to maintain profitability depends on a number of factors, including the growth rate of the sterilization and lab services industries, the prices of our products and services, the costs to provide our products and services and the competitiveness of our products and services. We may incur significant losses in the future for a number of reasons, including principal and interest expense related to our indebtedness and the other risks described herein, and we may encounter unforeseen expenses, difficulties, complications and delays and other unknown events. Consequently, our results of operations may not maintain or increase profitability in future periods. </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 xml:space="preserve">We may incur impairment charges on our goodwill and other intangible assets with indefinite lives as well as other long-lived assets and intangible assets with definite lives, which could adversely affect our business, financial condition or results of operations.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We are subject to Accounting Standards Codification (“ASC”) Topic 350, Intangibles—Goodwill and Other, which requires that goodwill and other intangible assets that have an indefinite useful life be evaluated at least annually for impairment. Goodwill and other intangible assets with indefinite lives must also be evaluated for impairment between the annual tests if an event or change in circumstance occurs that would more likely than not reduce the fair value of the asset below its carrying amount. We have substantial goodwill and other intangible assets. If we were to determine in the future that there has been an impairment, our financial results for the relevant period would be reduced by the amount of the non-cash impairment charge, net of any income tax effects, which could have an adverse effect on our business, financial condition or results of operations.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Similarly, pursuant to ASC Topic 360—Property, Plant, and Equipment, long-lived assets, such as property, plant and equipment and intangible assets subject to amortization, must be reviewed for impairment whenever events or changes in circumstances indicate that the carrying amount of an asset or asset group may not be recoverable. If we were to determine in the future that there has been an impairment of long-lived assets or intangible assets subject to amortization, our financial results for the relevant period would be reduced by the amount of the non-cash impairment charge, net of any income tax effects, which could have an adverse effect on our business, financial condition or results of operations. </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 xml:space="preserve">Unionization efforts and labor regulations could materially increase our costs or limit our flexibility.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Efforts have been made from time to time to unionize portions of our workforce, and we may experience similar efforts in the future. Certain of our employees are represented by labor unions or works councils and are negotiating or working under collective bargaining or similar agreements, some of which are subject to periodic renegotiation. For example, employees at a gamma irradiation facility in the United States voted to unionize in November 2023, and we may experience similar efforts to unionize portions of our workforce in the future. Unionization efforts, new collective bargaining agreements or work stoppages could materially increase our costs, reduce our net revenues or limit our flexibility. The collective bargaining agreements applicable to our employees in Brazil and Mexico expire annually. The collective bargaining agreement applicable to Nordion’s employees in Kanata, Canada expires on March 31, 2027. Failure to renew these agreements on similar terms could result in increased labor costs or lead to labor disruptions, which could negatively affect our business and operations.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legal obligations in the markets where we conduct business require us to contribute amounts to retirement funds and pension plans and restrict our ability to dismiss employees. Future regulations or court interpretations established in the countries in which we conduct our operations could increase our costs and materially adversely affect our business, financial condition or results of operations. </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 xml:space="preserve">Our business is subject to a variety of laws involving the cannabis industry, many of which are unsettled and still developing and which could subject us to claims or otherwise harm our business.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provide bioburden reduction irradiation services for the processing of cannabis, primarily in Canada and certain European countries. Laws and regulations governing cannabis in Canada and European countries have evolved rapidly over recent years. In the United States, marijuana (all parts of the cannabis plant other than those parts that are exempt) presently remains a Schedule I controlled substance under federal law. However, an Executive Order issued on December 18, 2025, among other things, directed the Attorney General to expedite the rulemaking process to reclassify marijuana from a Schedule I controlled substance to a Schedule III controlled substance under the Controlled Substances Act. In other countries in which the cultivation and use of marijuana is legalized, most notably in Canada, our operations include irradiation services for recreational and medical marijuana. As laws in the United States, Canada, Europe and other jurisdictions evolve, our activities in these spaces may face additional regulations, and it may be costly or burdensome to comply.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27c953b2e3004595bc062f37867a09b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pPr>
      <w:r>
        <w:rPr>
          <w:color w:val="000000"/>
        </w:rPr>
        <w:t> </w:t>
      </w:r>
      <w:r>
        <w:rPr>
          <w:rFonts w:ascii="Times New Roman;serif" w:hAnsi="Times New Roman;serif"/>
          <w:b/>
          <w:i/>
          <w:color w:val="000000"/>
          <w:sz w:val="20"/>
        </w:rPr>
        <w:t xml:space="preserve">Government or private civil antitrust actions could harm our business, prospects, financial condition or results of operations.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antitrust laws prohibit a wide variety of conduct that unlawfully suppresses competition, such as conspiracies among competitors not to reduce (or to “fix”) prices. Although our Global Code of Conduct requires our employees to comply with the antitrust laws and we believe that we are doing so, a governmental or private civil action alleging the improper exchange of information, unlawful participation in price maintenance or other unlawful or anticompetitive activity, even if unfounded, could be costly to defend and could harm our business, prospects, financial condition or results of operations. </w:t>
      </w:r>
    </w:p>
    <w:p>
      <w:pPr>
        <w:pStyle w:val="TextBody"/>
        <w:bidi w:val="0"/>
        <w:spacing w:lineRule="auto" w:line="288" w:before="200" w:after="283"/>
        <w:jc w:val="left"/>
        <w:rPr/>
      </w:pPr>
      <w:r>
        <w:rPr>
          <w:rFonts w:ascii="Times New Roman;serif" w:hAnsi="Times New Roman;serif"/>
          <w:b/>
          <w:i/>
          <w:color w:val="000000"/>
          <w:sz w:val="20"/>
        </w:rPr>
        <w:t>We may have greater than anticipated tax liabilities, which could harm our business, revenue and financial results</w:t>
      </w:r>
      <w:r>
        <w:rPr>
          <w:rFonts w:ascii="Times New Roman;serif" w:hAnsi="Times New Roman;serif"/>
          <w:b w:val="false"/>
          <w:color w:val="000000"/>
          <w:sz w:val="24"/>
        </w:rPr>
        <w:t xml:space="preserve">.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operate in a number of tax jurisdictions globally, including in the United States at the federal, state and local levels, and in many other countries, and we are therefore subject to review and potential audit by tax authorities in these various jurisdictions. Significant judgment is required in determining our worldwide provision for income taxes and other tax liabilities, and tax authorities may disagree with tax positions we take and challenge our tax positions. Successful unilateral or multi-jurisdictional actions by various tax authorities, including in the context of our current or future corporate operating structure and third-party and intercompany arrangements, may increase our worldwide effective tax rate, result in additional taxes or other costs or have other material consequences, which could harm our business, revenue and financial results.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effective tax rate may also change from year to year or vary materially from our expectations based on changes or uncertainties in the mix of activities and income allocated or earned among various jurisdictions, changes in tax laws and the applicable tax rates in these jurisdictions (including future tax laws that may become material), tax treaties between countries, our eligibility for benefits under those tax treaties and the valuation of deferred tax assets and liabilities. Such changes could result in an increase in the effective tax rate applicable to all or a portion of our income, impose new limitations on deductions, credits or other tax benefits or make other changes that may adversely affect our business, cash flows or financial performance. For example, we have been unable to fully realize the benefit of interest expense as a result of recent tax law changes, and we recognized a valuation allowance on related deferred tax assets, which impacted our annual effective income tax rate.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Any changes in tax law may create uncertainty and our business and financial condition could be adversely affected. </w:t>
      </w:r>
    </w:p>
    <w:p>
      <w:pPr>
        <w:pStyle w:val="TextBody"/>
        <w:bidi w:val="0"/>
        <w:spacing w:lineRule="auto" w:line="288" w:before="200" w:after="283"/>
        <w:jc w:val="left"/>
        <w:rPr/>
      </w:pPr>
      <w:r>
        <w:rPr>
          <w:color w:val="000000"/>
        </w:rPr>
        <w:t> </w:t>
      </w:r>
      <w:r>
        <w:rPr>
          <w:rFonts w:ascii="Times New Roman;serif" w:hAnsi="Times New Roman;serif"/>
          <w:b/>
          <w:color w:val="000000"/>
          <w:sz w:val="20"/>
        </w:rPr>
        <w:t xml:space="preserve">Risks Related to Our Indebtedness and Liquidity </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 xml:space="preserve">Our significant degree of leverage could adversely affect our ability to raise additional capital to fund our operations, limit our ability to react to challenges facing our Company or broader changes in our industry or the economy, expose us to interest rate risk and prevent us from meeting our obligations under our existing and future indebtedness.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As of December 31, 2025, our total indebtedness was approximately $2,169.5 million, all of which is indebtedness of our subsidiary Sotera Health Holdings, LLC (“SHH”) that is guaranteed by the Company and certain of our other subsidiaries.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leverage could have important consequences, including: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making it more difficult for us to satisfy our obligations;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increasing our vulnerability to general economic and industry conditions;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requiring a substantial portion of cash flow from operations to be used to pay off principal and interest on our indebtedness, thereby reducing our ability to use our cash flow to fund our operations, capital expenditures and future business opportunities;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exposing us to the risk of increased interest rates as our indebtedness is at variable interest rates;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restricting us from making strategic acquisitions or causing us to make non-strategic divestitures;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limiting our ability to obtain additional financing for working capital, capital expenditures, product development, debt service requirements, acquisitions, appellate litigation bonding expenses and general corporate or other purposes;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limiting our ability to adjust to changing market conditions and placing us at a disadvantage compared to our competitors that are less highly leveraged; and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causing us to pay higher rates if we need to refinance our indebtedness at a time when prevailing market interest rates are unfavorable.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and our subsidiaries may obtain substantial additional indebtedness in the future, subject to the restrictions contained in the Credit Agreement (as defined below) governing our Senior Secured Credit Facilities (as defined below) and the Indenture (as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27c953b2e3004595bc062f37867a09b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defined below) that governs the Secured Notes (as defined below) (together the “Combined Senior Secured Credit Facilities”). If new indebtedness is added to our current debt levels, the related risks that we now face could intensify.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Our Senior Secured Credit Facilities bear interest at variable interest rates, based on the Term SOFR and certain other interest “benchmarks.” Because we are exposed to interest rate risk through our variable-rate borrowings, we have entered into, and may in the future enter into, additional interest rate swaps that involve the exchange of floating for fixed rate interest payments to reduce interest rate volatility and interest rate cap agreements. We may not maintain interest rate swaps with respect to any of our variable rate indebtedness, and any swaps we enter into may not fully mitigate our interest rate risk. If interest rates increase, our debt service obligations on any variable rate indebtedness will increase even if the amount borrowed remains the same, and our earnings and cash flows, including cash available for servicing our indebtedness and the levels of cash we maintain for working capital, will correspondingly decrease. Based on our indebtedness outstanding as of December 31, 2025 and the interest rate under our Term Loans (as defined below) that was in effect on December 31, 2025, a 1% increase in the Term SOFR benchmark interest rates would result in an increase of approximately $10.2 million in total annual interest expense under our outstanding debt obligations. Refer to Note 9, “Long-Term Debt” to our consolidated financial statements.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 xml:space="preserve">The agreements governing our debt, including the Secured Notes, contain various covenants that impose restrictions on us and limit our flexibility in operating our business.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Credit Agreement that governs the Senior Secured Credit Facilities and the Indenture that governs the Secured Notes contain various covenants that limit our ability to engage in specified types of transactions. These covenants limit our ability and our restricted subsidiaries’ ability to, among other things: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incur additional indebtedness or issue certain shares of preferred stock;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pay dividends on, repurchase or make distributions in respect of our capital stock or make other restricted payments;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make certain investments and acquisitions;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sell or transfer assets;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grant liens on our assets;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consolidate, merge, sell or otherwise dispose of all or substantially all of our assets; and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enter into certain transactions with our affiliates.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under certain circumstances we are required to satisfy and maintain specified financial ratios and other financial condition tests under certain covenants in our Combined Senior Secured Credit Facilities. See Item 7, “Management’s Discussion and Analysis of Financial Condition and Results of Operations—Liquidity and Capital Resources.” Our ability to meet those financial ratios and tests can be affected by events beyond our control, including prevailing economic, financial market and industry conditions, and we cannot give assurance that we will be able to satisfy such ratios and tests when required.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Further, various risks, uncertainties and events beyond our control could affect our ability to comply with these covenants. Failure to comply with any of the covenants in our existing or future financing agreements could result in a default under those agreements and under other agreements containing cross-default or cross-acceleration provisions (including under each of our Combined Senior Secured Credit Facilities). Upon the occurrence of an event of default, all amounts outstanding under the Combined Senior Secured Credit Facilities could be declared immediately due and payable and all commitments to extend further credit could be terminated. If we were unable to repay those amounts, the collateral granted under the Combined Senior Secured Credit Facilities to secure each such indebtedness could be foreclosed on. We have pledged substantially all of our assets as collateral under the Combined Senior Secured Credit Facilities. </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 xml:space="preserve">Our cash flows may not be sufficient to service our indebtedness, and if we are unable to satisfy our obligations under our indebtedness, we may be required to seek other financing alternatives, which may not be successful.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ability to make timely payments of principal and interest on our debt obligations, including our obligations under the Combined Senior Secured Credit Facilities, depends on our ability to generate positive cash flows from operations, which is subject to general economic conditions, competitive pressures and certain financial, business and other factors beyond our control. If our cash flows and capital resources are insufficient to make these payments, we may be required to seek additional financing sources, reduce or delay capital expenditures, sell assets or operations or refinance our indebtedness. These actions could have a material adverse effect on our business, financial conditions and results of operations. In addition, we may not be able to take any of these actions, and even if successful, these actions may not permit us to meet our scheduled debt service obligations. Our ability to restructure or refinance our existing indebtedness will depend on, among other things, the condition of the capital markets and our financial condition at the time. We may not be able to restructure or refinance any of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27c953b2e3004595bc062f37867a09b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indebtedness on commercially reasonable terms or at all. If we cannot make scheduled payments on our debt, we will be in default and the outstanding principal and interest on our debt could be declared to be due and payable, in which case we could be forced into bankruptcy or liquidation or required to substantially restructure or alter our business operations or debt obligations. </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 xml:space="preserve">A lowering or withdrawal of the ratings assigned to our debt by rating agencies may increase our future borrowing costs and reduce our access to capital.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Any rating assigned to our debt by a rating agency could be lowered or withdrawn entirely if, in that rating agency’s judgment, future circumstances relating to the basis of the rating, such as adverse changes to our ability to service our debt obligations or our general financial condition, so warrant. Any future lowering of our ratings would likely make it more difficult or more expensive for us to obtain additional debt financing. Additionally, we enter into various forms of hedging arrangements against currency, interest rates or commodity price fluctuations. Financial strength and credit ratings are also important to the availability and pricing of any hedging activities we decide to undertake, and a downgrade of our credit ratings may make it more costly for us to engage in these activities. </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 xml:space="preserve">SHH is a holding company, and therefore its ability to make any required payment on our credit agreements depends upon the ability of its subsidiaries to pay it dividends or to advance it funds.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SHH, the issuer under our Secured Notes and the borrower under our Senior Secured Credit Facilities, has no direct operations and no significant assets other than the equity interests of its subsidiaries. Because it conducts its operations through its operating subsidiaries, SHH depends on those entities to generate the funds necessary to meet its financial obligations, including its required obligations under our Combined Senior Secured Credit Facilities. The ability of our subsidiaries to make transfers and other distributions to SHH will be subject to, among other things, the terms of any debt instruments of such subsidiaries then in effect and applicable law. If transfers or other distributions from our subsidiaries to SHH were eliminated, delayed, reduced or otherwise impaired, our ability to make payments on the obligations under our credit agreements could be substantially impaired. </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 xml:space="preserve">Risks Related to Ownership of Our Common Stock </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 xml:space="preserve">The market and trading volume of our common stock may be volatile, and you could lose all or part of your investment.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market price of our common stock may fluctuate or decline significantly in the future. Some of the factors that could negatively affect our share price or result in fluctuations in the price or trading volume of our common stock include those listed in the related Risk Factors “—Risks Related to the Company,” “—Risks Related to Our Indebtedness and Liquidity” and the following, some of which are beyond our control: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developments in our litigation matters and governmental investigations or additional significant lawsuits or governmental investigations relating to our services or facilities, including our susceptibility as a publicly-traded company to enforcement proceedings and civil litigation alleging that our disclosures have not complied with federal and state securities laws and regulations;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regulatory or legal developments in the jurisdictions in which we operate;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adverse publicity about us or the industries in which we participate;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variations in our quarterly or annual results of operations, or in those of our competitors or of companies in the medical device and pharmaceutical industries;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the financial projections we may provide to the public, any changes in these projections or our failure to meet these projections;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sales of our common stock by us or our stockholders in the future or the perception that such sales may occur;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publication of research reports about the industries in which we participate;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changes in analysts’ estimates, investors’ perceptions, recommendations by securities analysts, our failure to achieve analysts’ estimates or failure of analysts to maintain coverage of us;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volatility in the trading prices and trading volumes of companies similar to us;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changes in operating performance and stock market valuations of companies in our industry;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changes in accounting principles, policies, guidance, interpretations or standards;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27c953b2e3004595bc062f37867a09bd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volatility or economic downturns in the markets in which we, our suppliers or our customers are located caused by pandemics, such as the COVID-19 pandemic, and related policies and restrictions undertaken to contain the spread of such pandemics or potential pandemics;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time and costs associated with potential shareholder activism campaigns and outreach efforts; and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general market conditions and other factors unrelated to our operating performance or the operating performance of our competitors.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Certain broad market and industry factors may decrease the market price of our common stock, regardless of our actual operating performance. The stock market in general has from time to time experienced extreme price and volume fluctuations. In addition, in the past, following periods of volatility in the overall market and the market price of companies’ securities, securities class action litigation has often been instituted against these companies, and we have been named as a defendant in such a putative securities class action that was dismissed at the trial court level and is currently pending on appeal. See Note 19, “Commitments and Contingencies” to our consolidated financial statements under the heading “Sotera Health Company Securities Litigation and Related Matters.” Such litigation could result in substantial costs and a diversion of our management’s attention and resources. </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 xml:space="preserve">The future issuance of additional common stock in connection with our incentive plans, acquisitions or otherwise will dilute all other stockholdings.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As of February 17, 2026, we had an aggregate of 886,109,800 shares of common stock that are not currently reserved for issuance under our 2020 Omnibus Incentive Plan (“2020 Plan”), as well as 1,645,073 treasury shares. We may issue all of these shares of common stock without any action or approval by our stockholders, subject to certain exceptions. We also intend to continue to evaluate acquisition opportunities and may issue common stock in connection with these acquisitions. Any common stock issued in connection with our incentive plans, acquisitions or otherwise would dilute the percentage ownership held by the investors who own our common stock. </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 xml:space="preserve">Future offerings of debt or equity securities by us may adversely affect the market price of our common stock.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the future, we may attempt to obtain financing or to further increase our capital resources by issuing additional shares of our common stock or offering debt or other equity securities. Future acquisitions could require substantial additional capital in excess of cash from operations. We would expect to finance any future acquisitions requiring substantial additional capital through a combination of additional issuances of equity, corporate indebtedness, asset-backed acquisition financing and/or cash from operations.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Issuing additional shares of our common stock or other equity securities or securities convertible into equity may dilute the economic and voting rights of our existing stockholders or reduce the market price of our common stock or both. Upon liquidation, holders of such debt securities and preferred shares, if issued, and lenders with respect to other borrowings would receive a distribution of our available assets prior to the holders of our common stock. Debt securities convertible into equity could be subject to adjustments in the conversion ratio pursuant to which certain events may increase the number of equity securities issuable upon conversion. Preferred shares, if issued, could have a preference with respect to liquidating distributions or a preference with respect to dividend payments that could limit our ability to pay dividends to the holders of our common stock. Our decision to issue securities in any future offering will depend on market conditions and other factors beyond our control, which may adversely affect the amount, timing or nature of our future offerings. Thus, holders of our common stock bear the risk that our future offerings may reduce the market price of our common stock and dilute their stockholdings in us.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A sale of a substantial number of shares of our common stock, or the perception that such sales might occur, may cause the price of our common stock to decline.</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Future sales of substantial amounts of our common stock in the public market, or the perception that such sales might occur, could cause the trading price of our common stock to decline. These sales, or the possibility that these sales may occur, also might make it more difficult for us to sell equity securities in the future at a time and at a price that we deem appropriate.</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In connection with our initial public offering (“IPO”), we entered into a stockholders’ agreement with certain holders of our common stock, including investment funds and entities affiliated with either Warburg Pincus or GTCR and members of our management team, which we refer to as the “Stockholders Agreement.” Under the Stockholders Agreement, individual stockholders who were members of our management before the IPO, and other persons related to these individuals, are subject to contractual restrictions on transfer of shares of our common stock until November 19, 2026. These restrictions apply to approximately 8,345,319 shares as of February 17, 2026, but may be waived at any time by a majority of the members of the leadership development and compensation committee of the board of directors.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27c953b2e3004595bc062f37867a09b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As of February 17, 2026, Warburg Pincus and GTCR together own approximately 20.0% of our outstanding common stock and have rights to require us to file registration statements covering their shares. The investment funds and entities affiliated with the Sponsors, as well as certain other stockholders, could also require us to include their shares in registration statements that we may file for ourselves or our stockholders. Additionally, the Sponsors and our officers and directors may sell shares into the public markets in accordance with the requirements of Rule 144 under the Securities Act.</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Any sales of securities by any of our stockholders described above could have a material adverse effect on the market price of our common stock.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the future, we may also issue securities in connection with investments or acquisitions. In particular, the number of shares of our common stock issued in connection with an investment or acquisition could constitute a material portion of our then-outstanding shares of our common stock. Any such issuance of additional securities in the future may result in additional dilution to you or may adversely impact the price of our common stock. </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The interests of our Sponsors may differ from the interests of other stockholders of the Company.</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As of February 17, 2026, the Sponsors own approximately 20.0% of our outstanding common stock and, collectively, retain the right to designate three of our directors. This concentration of ownership, together with the Sponsors’ rights under the Stockholders Agreement, may delay, deter or prevent acts that would be favored by our other stockholders. The interests of the Sponsors may not always coincide with our interests or the interests of our other stockholders. For example, because the Sponsors purchased their shares at prices substantially below the price at which shares were sold to the public in our IPO and have held their shares for a longer period, they may be more interested in selling our Company to an acquirer than other investors or may want us to pursue strategies that deviate from the interests of other stockholders. In addition, under the Stockholders Agreement, we have agreed, subject to certain exceptions, to indemnify the Sponsors, and various affiliated persons and indirect equity holders of the Sponsors, from losses arising out of any threatened or actual litigation by reason of the fact that the indemnified person is or was a holder of our common stock or of equity interests in Sotera Health Company. Public stockholders will not benefit from this indemnification provision.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This concentration of ownership, together with the Sponsors’ rights under the Stockholders Agreement, may also have the effect of delaying, preventing or deterring a change in control. As a result, the market price of our common stock could decline or stockholders might not receive a premium over the then-current market price of our common stock upon a change in control. In addition, this concentration of ownership, together with the Sponsors’ rights under the Stockholders Agreement, may adversely affect the trading price of our common stock because investors may perceive disadvantages in owning shares in a company with significant stockholders with correspondingly significant voting rights. </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 xml:space="preserve">Certain of our stockholders have the right to engage or invest in the same or similar businesses as us.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Sponsors have other investments and business activities in addition to their ownership of us. The Sponsors have the right, and have no duty to abstain from exercising such right, to engage or invest in the same or similar businesses as us, do business with any of our customers or suppliers or employ or otherwise engage any of our officers, directors or employees. If the Sponsors or any of their officers, directors or employees acquire knowledge of a potential transaction that could be a corporate opportunity, they have no duty, to the fullest extent permitted by law, to offer such corporate opportunity to us, our stockholders or our affiliates. This right could adversely impact our business, prospects, financial condition or results of operations if attractive business opportunities are procured by the Sponsors or another party for their own benefit rather than for ours.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the event that any of our directors who is also a director, officer or employee of any Sponsor acquires knowledge of a corporate opportunity or is offered a corporate opportunity, such person is deemed to have fully satisfied such person’s fiduciary duties owed to us and is not liable to us, to the fullest extent permitted by law, if such Sponsor pursues or acquires the corporate opportunity or does not present the corporate opportunity to us, provided that this knowledge was not acquired solely in such person’s capacity as our director and such person acts in good faith. </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 xml:space="preserve">Anti-takeover provisions in our Amended and Restated Certificate of Incorporation, Amended and Restated Bylaws and the Stockholders Agreement, as well as Delaware law, could discourage a change in control of our company or a change in our management.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Amended and Restated Certificate of Incorporation, Amended and Restated Bylaws, the Stockholders Agreement and Delaware law contain provisions that might discourage, delay or prevent a merger, acquisition, or other change in control that stockholders may consider favorable, including transactions in which our stockholders might otherwise receive a premium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27c953b2e3004595bc062f37867a09b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shares of our common stock. These provisions may also prevent or frustrate attempts by our stockholders to replace or remove our management. These provisions include: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limiting the liability of, and providing indemnification to, our directors and officers;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establishing a classified board of directors with three-year staggered terms, which could delay the ability of stockholders to change the membership of a majority of our board of directors;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providing that directors may be removed only for cause by the affirmative vote of the holders of at least 75% of the voting power of our outstanding common stock;</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limiting the determination of the number of directors on our board of directors and the filling of vacancies or newly created seats on the board to our board of directors then in office; provided that for so long as investment funds and entities affiliated with either Warburg Pincus or GTCR have the right to designate at least one director for election to our board of directors, (i) any vacancies will be filled in accordance with the designation provisions set forth in the Stockholders Agreement and (ii) the number of directors shall not exceed eleven without the consent of Warburg Pincus or GTCR;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advance notice requirements applicable to stockholders for matters to be brought before a meeting of stockholders and requirements as to the form and content of a stockholders’ notice; provided that no advance notice shall be required for nominations of candidates for election to our board of directors pursuant to the Stockholders Agreement;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requiring the affirmative vote of at least 66 2/3% of the voting power of our outstanding common stock to amend certain provisions of our Amended and Restated Certificate of Incorporation and Amended and Restated Bylaws;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providing that for so long as investment funds and entities affiliated with Warburg Pincus have the right to designate at least one director for election to our board of directors and for so long as investment funds and entities affiliated with GTCR have the right to designate one director for election to our board of directors, in each case, a quorum of our board of directors (and committees of the board of directors on which a director designated by Warburg Pincus or GTCR will serve) will not exist without at least one director designee of each of Warburg Pincus and GTCR present at such meeting; provided that if a meeting of our board of directors (or a committee of the board of directors) fails to achieve a quorum due to the absence of a director designee of Warburg Pincus or GTCR, as applicable, the presence of a director designee of Warburg Pincus or GTCR, as applicable, will not be required in order for a quorum to exist at the next duly noticed meeting of our board of directors (or a committee thereof);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the right to issue blank check preferred stock without stockholder approval, which could be used to dilute the stock ownership of a potential hostile acquirer or adopt a stockholder rights plan;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a requirement that our stockholders may only take action at annual or special meetings of our stockholders and may not act by written consent;</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limiting the ability of stockholders to call and bring business before special meetings; and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limiting the forum to the Court of Chancery of the State of Delaware or federal court located within the State of Delaware for certain types of actions and proceedings that may be initiated against us by stockholders.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our Amended and Restated Certificate of Incorporation contains a provision that provides us with protections similar to Section 203 of the Delaware General Corporation Law (“DGCL”), and prevents us from engaging in a business combination with a person (excluding the Sponsors and any of their respective direct or indirect transferees and any group as to which such persons are a party) who acquires at least 15% of our common stock for a period of three years from the date such person acquired such common stock, unless board or stockholder approval is obtained prior to the acquisition.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These provisions might discourage, delay or prevent a change in control of our Company or a change in our management. For example, because investment funds and entities affiliated with either Warburg Pincus or GTCR together will continue to own a substantial portion of the voting power of our common stock, they could prevent or make more difficult a third party acquisition of us, even if the third party’s offer may be considered beneficial by many of our stockholders. The existence of these provisions could adversely affect the voting power of holders of common stock and limit the price that investors might be willing to pay in the future for shares of our common stock.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0"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27c953b2e3004595bc062f37867a09b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 xml:space="preserve">Our Amended and Restated Certificate of Incorporation designates specific courts as the exclusive forum for certain litigation that may be initiated by our stockholders, which could limit our stockholders’ abilities to obtain a favorable judicial forum for disputes with us or our directors, officers or employees.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Amended and Restated Certificate of Incorporation provides that, unless we consent in writing to the selection of an alternative forum, the sole and exclusive forum, to the fullest extent permitted by law, for (1) any derivative action or proceeding brought on our behalf, (2) any action asserting a claim of breach of a fiduciary duty owed by any of our current or former directors, officers or other employees or stockholders to us or our stockholders, (3) any action asserting a claim against us or any of our directors or officers or other employees or stockholders arising pursuant to, any action to interpret, apply, enforce any right, obligation or remedy under, any provision of the DGCL, our amended and restated certificate of incorporation or amended and restated bylaws, (4) any action asserting a claim that is governed by the internal affairs doctrine, or (5) any other action asserting an “internal corporate claim” under the DGCL shall be the Court of Chancery of the State of Delaware (or any state or federal court located within the State of Delaware if the Court of Chancery does not have jurisdiction) (the “Delaware Forum Provision”). Notwithstanding the foregoing, our Amended and Restated Certificate of Incorporation provides that the Delaware Forum Provision will not apply to suits brought to enforce a duty or liability created by the Exchange Act. Section 27 of the Exchange Act creates exclusive federal jurisdiction over all suits brought to enforce any duty or liability created by the Exchange Act or the rules and regulations thereunder. Our amended and restated certificate of incorporation further provides that unless we consent in writing to the selection of an alternative forum, the federal district courts of the United States shall, to the fullest extent permitted by law, be the sole and exclusive forum for resolving any complaint asserting a cause of action arising under the Securities Act (the “Federal Forum Provision”).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Delaware Forum Provision and the Federal Forum Provision may limit a stockholder’s ability to bring a claim in a judicial forum that the stockholder believes might be favorable for disputes with us or our directors, officers or other employees, which may discourage lawsuits against us and our directors, officers and other employees. Alternatively, if a court were to find the Delaware Forum Provision or the Federal Forum Provision to be inapplicable or unenforceable in an action, we may incur additional costs associated with resolving such action in other jurisdictions, which could harm our business, financial condition or results of operations. Any person or entity purchasing or otherwise acquiring any interest in our shares of capital stock shall be deemed to have notice of and consented to the Delaware Forum Provision and the Federal Forum Provision, but will not be deemed to have waived our compliance with the federal securities laws and the rules and regulations thereunder. </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 xml:space="preserve">We do not anticipate paying any dividends on our common stock in the foreseeable future, and, consequently, our stockholders’ ability to achieve a return on their investment depends on appreciation in the price of our common stock.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We do not expect to declare or pay dividends on our common stock in the foreseeable future. We currently expect to use any cash flow generated by operations to pay for our operations, grow our business and repay existing indebtedness. Any decisions to declare and pay dividends in the future will be made at the discretion of our board of directors and will depend on, among other things, our results of operations, financial condition, cash requirements, contractual restrictions, restrictions imposed by applicable law and other factors that our board of directors may deem relevant. Our ability to pay dividends on our common stock is limited by the terms of the Combined Senior Secured Credit Facilities. As a result, capital appreciation, if any, of our common stock will be the sole source of potential gain for the foreseeable future, and our stockholders will have to sell some or all of their common stock holdings to generate cash flow from their investment.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1B. Unresolved Staff Comments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1C. Cybersecurity</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Cybersecurity Risk Management and Strategy</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has an enterprise risk management (“ERM”) program that includes the processes used to identify, assess, and manage our most significant enterprise risks and uncertainties that could materially impact the long-term health of the Company or prevent the achievement of strategic objectives. These risks are identified, measured, monitored, and managed across key risk categories, which include the consideration of cybersecurity risks. The Company develops and maintains cybersecurity processes that protect the confidentiality, integrity and availability of Company, employee, customer and partner information against a growing number of cybersecurity threats and threat actors. Our cybersecurity program is designed to protect our infrastructure from potential threats, including threats associated with our third party business partners, to allow us to assess, identify and manage material risks from cybersecurity threats and to endeavor to secure the integrity of our data and IT systems using techniques, hardware, and software typical of companies of our size and scope, which are described further below. For example, we leverage the National Institute of Standards and Technology Cybersecurity Framework’s (“NIST CSF”) principles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1"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in developing our cybersecurity program to monitor our security environment and manage risk. However, this does not mean that we meet any particular technical standards, specifications, or requirements, but rather that we use the NIST CSF as a guide to help us identify, assess, and manage cybersecurity risks and threats relevant to our business.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Company has adopted a risk-based strategy designed to achieve a targeted and cost-effective approach to managing cybersecurity risks that strengthens our abilities to prevent, detect, and respond to cybersecurity incidents. The Company has configured its IT environment, where possible, to restrict access using a least privileged methodology. We use various technologies and monitoring capabilities to detect anomalies and track information and assets. We have implemented a cybersecurity awareness program consisting of frequent training, phishing exercises, and bulletins regarding pertinent cybersecurity developments. We maintain and regularly update incident response, disaster recovery and business continuity plans and procedures. Our IT specialists subscribe to threat intelligence feeds and are members of cybersecurity-related associations such as the Information Systems Audit and Control Association, the Computing Technology Industry Association and the Cloud Security Alliance. We also maintain insurance coverage for cyber and data security risks of an amount and subject to conditions and exceptions that we believe are customary for companies like ours, but there can be no assurance that our levels of coverage are adequate or that we will be able to continue to maintain our existing insurance or obtain comparable insurance at a reasonable cost or at all.</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As of the date of this filing, we do not believe that any risks from cybersecurity threats, including as a result of past cybersecurity incidents have had, or are reasonably likely to have, a material effect on our business strategy, results of operations or financial condition, but we cannot assure that our business strategy, results of operations and financial condition will not be materially affected in the future by cybersecurity risks or future cybersecurity incidents. Although we have taken and will continue to take significant steps to protect the security and integrity of our information and although we have implemented policies and procedures to enhance data privacy and security, there can be no assurance that our efforts will prevent breakdowns, system failures, breaches of our systems or other cybersecurity incidents or otherwise be fully effective. Any such breakdown, breach or cybersecurity incident could adversely affect our business strategy, prospects, financial condition or results of operations, and any insurance that we may have for cybersecurity incidents may not cover such risks or be sufficient to compensate us for losses that may occur.</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Cybersecurity Governance</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Chief Information Officer (“CIO”) is responsible for assessing and managing cybersecurity risks. The CIO is supported by the Senior Director of IT Governance, Security, and Service Delivery and the Senior Director of Global Infrastructure, and Senior Information Security Architect, who manage our day-to-day cybersecurity-related matters and keep abreast of cybersecurity news, events and incidents through regular course monitoring and updates. Our CIO has over 12 years of professional experience in various roles involving managing information security, developing cybersecurity strategy, implementing cybersecurity programs, and managing multiple industry and regulatory compliance environments. Our CIO also holds a certificate in Cyber-Risk Oversight issued by the National Association of Corporate Directors. Our Senior Director of IT Governance, Security, and Service Delivery has over 15 years of professional experience in various roles involving managing information security, developing cybersecurity strategy, implementing cybersecurity programs, and managing industry and regulatory compliance environments. Our Senior Information Security Architect has over 20 years of professional experience designing secure architecture, conducting threat and risk assessments, incident response, cyber forensics, and teaching college and university level cybersecurity program courses. Our Senior Information Security Architect also holds a diverse set of certifications, including CISSP, CISCO Security +, CISA, CEH, CompTIA Sec +, and others.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When detected, suspected cybersecurity threats are escalated to the CIO and incident response team. The CIO then creates a Cybersecurity Incident Response Team (“CSIRT”) which, depending on the incident, comprises the incident coordinator, cybersecurity staff, legal counsel and other stakeholders as appropriate. The CSIRT investigates and manages the impact of cybersecurity incidents in accordance with our security incident response procedures.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Our board of directors and its audit committee oversee the Company’s ERM program, and the steps management has taken to monitor and mitigate such risks, including the Company’s procedures and any related policies with respect to enterprise risk assessment and risk management. The board of directors bears principal responsibility for overseeing the Company’s principal current and future risk exposures, and, on an annual basis, the board of directors reviews them, including cybersecurity risks and exposures. The board of directors’ review includes an annual session with our CIO on the Company’s procedures and policies for assessing and managing cybersecurity risks and disclosing any material cybersecurity incidents. In performing these oversight functions, the board of directors relies on advice, reports and opinions of management, counsel and our internal and external auditors, including mid-year and year-end cybersecurity inquiries by our external auditors on various aspects of the Company’s cybersecurity program, processes and training.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2"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Use of Independent Experts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 engages external resources in connection with our processes for assessing, identifying and managing material risks from cybersecurity threats. These resources include, but are not limited to, regular internal and external penetration tests and assessments of our cybersecurity program by third-party experts. We plan to continue to engage independent experts to periodically test our cybersecurity policies for their effectiveness.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2. Properties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corporate headquarters is in Broadview Heights, Ohio, our Sterigenics headquarters is in Oakbrook, Illinois, our Nelson Labs headquarters is in Taylorsville, Utah and our Nordion headquarters is in Kanata, Ontario, Canada. As of December 31, 2025, we operated 62 facilities in North America, South America, Europe and Asia. The following table identified the number of owned and leased facilities, other than our headquarters listed above. We believe that our facilities are adequate for our current needs and that suitable additional or substitute space will be available as needed to accommodate our operations, subject to securing regulatory and other approvals discussed above. </w:t>
      </w:r>
    </w:p>
    <w:tbl>
      <w:tblPr>
        <w:tblW w:w="5661" w:type="dxa"/>
        <w:jc w:val="left"/>
        <w:tblInd w:w="0" w:type="dxa"/>
        <w:tblLayout w:type="fixed"/>
        <w:tblCellMar>
          <w:top w:w="28" w:type="dxa"/>
          <w:left w:w="28" w:type="dxa"/>
          <w:bottom w:w="28" w:type="dxa"/>
          <w:right w:w="28" w:type="dxa"/>
        </w:tblCellMar>
      </w:tblPr>
      <w:tblGrid>
        <w:gridCol w:w="406"/>
        <w:gridCol w:w="358"/>
        <w:gridCol w:w="360"/>
        <w:gridCol w:w="449"/>
        <w:gridCol w:w="449"/>
        <w:gridCol w:w="451"/>
        <w:gridCol w:w="109"/>
        <w:gridCol w:w="109"/>
        <w:gridCol w:w="109"/>
        <w:gridCol w:w="384"/>
        <w:gridCol w:w="384"/>
        <w:gridCol w:w="386"/>
        <w:gridCol w:w="109"/>
        <w:gridCol w:w="109"/>
        <w:gridCol w:w="109"/>
        <w:gridCol w:w="404"/>
        <w:gridCol w:w="404"/>
        <w:gridCol w:w="572"/>
      </w:tblGrid>
      <w:tr>
        <w:trPr/>
        <w:tc>
          <w:tcPr>
            <w:tcW w:w="406"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r>
      <w:tr>
        <w:trPr/>
        <w:tc>
          <w:tcPr>
            <w:tcW w:w="1124"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16"/>
                <w:u w:val="single"/>
              </w:rPr>
              <w:t>Segment</w:t>
            </w:r>
            <w:r>
              <w:rPr>
                <w:rFonts w:ascii="Times New Roman;serif" w:hAnsi="Times New Roman;serif"/>
                <w:b/>
                <w:color w:val="000000"/>
                <w:sz w:val="9"/>
              </w:rPr>
              <w:t>(1)</w:t>
            </w:r>
          </w:p>
        </w:tc>
        <w:tc>
          <w:tcPr>
            <w:tcW w:w="134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Owned Facilities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Owned/Leased</w:t>
            </w:r>
          </w:p>
          <w:p>
            <w:pPr>
              <w:pStyle w:val="TableContents"/>
              <w:bidi w:val="0"/>
              <w:spacing w:lineRule="auto" w:line="288" w:before="0" w:after="0"/>
              <w:jc w:val="center"/>
              <w:rPr/>
            </w:pPr>
            <w:r>
              <w:rPr>
                <w:rFonts w:ascii="Times New Roman;serif" w:hAnsi="Times New Roman;serif"/>
                <w:b/>
                <w:color w:val="000000"/>
                <w:sz w:val="16"/>
              </w:rPr>
              <w:t>Facilities</w:t>
            </w:r>
            <w:r>
              <w:rPr>
                <w:rFonts w:ascii="Times New Roman;serif" w:hAnsi="Times New Roman;serif"/>
                <w:b/>
                <w:color w:val="000000"/>
                <w:sz w:val="10"/>
              </w:rPr>
              <w:t>(2)</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Leased Facilities </w:t>
            </w:r>
          </w:p>
        </w:tc>
      </w:tr>
      <w:tr>
        <w:trPr/>
        <w:tc>
          <w:tcPr>
            <w:tcW w:w="1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Sterigenics</w:t>
            </w:r>
          </w:p>
        </w:tc>
        <w:tc>
          <w:tcPr>
            <w:tcW w:w="1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w:t>
            </w:r>
          </w:p>
        </w:tc>
      </w:tr>
      <w:tr>
        <w:trPr/>
        <w:tc>
          <w:tcPr>
            <w:tcW w:w="1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Nelson Labs</w:t>
            </w:r>
          </w:p>
        </w:tc>
        <w:tc>
          <w:tcPr>
            <w:tcW w:w="1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w:t>
            </w:r>
          </w:p>
        </w:tc>
      </w:tr>
      <w:tr>
        <w:trPr/>
        <w:tc>
          <w:tcPr>
            <w:tcW w:w="1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Nordion</w:t>
            </w:r>
          </w:p>
        </w:tc>
        <w:tc>
          <w:tcPr>
            <w:tcW w:w="1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r>
    </w:tbl>
    <w:p>
      <w:pPr>
        <w:pStyle w:val="TextBody"/>
        <w:bidi w:val="0"/>
        <w:spacing w:lineRule="auto" w:line="288" w:before="2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 xml:space="preserve">(1)Seven of our Sterigenics and Nelson Labs facilities are located at the same address but are considered separate facilities because they require separate infrastructure. Two of our Sterigenics facilities are located at the same address but are considered separate facilities because they provide different sterilization modalities and require separate infrastructure. </w:t>
      </w:r>
    </w:p>
    <w:p>
      <w:pPr>
        <w:pStyle w:val="TextBody"/>
        <w:bidi w:val="0"/>
        <w:spacing w:lineRule="auto" w:line="288" w:before="0" w:after="0"/>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 xml:space="preserve">(2)Owned/leased facilities are comprised of multiple buildings, with some leased and some owned.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3. Legal Proceedings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From time to time, we may be subject to various legal proceedings arising in the ordinary course of our business, including claims relating to personal injury, property damage, workers’ compensation, employee safety and our disclosures as a Nasdaq-listed, publicly-traded company. In addition, from time to time, we receive communications from government or regulatory agencies concerning investigations or allegations of noncompliance with laws or regulations in jurisdictions in which we operate. At this time, and except as disclosed herein, we are unable to predict the outcome of, and cannot reasonably estimate the impact of, any pending litigation matters, matters concerning allegations of non-compliance with laws or regulations and matters concerning other allegations of other improprieties, or the incidence of any such matters in the future. Information regarding our legal proceedings is included below. </w:t>
      </w:r>
    </w:p>
    <w:p>
      <w:pPr>
        <w:pStyle w:val="TextBody"/>
        <w:bidi w:val="0"/>
        <w:spacing w:lineRule="auto" w:line="288" w:before="200" w:after="283"/>
        <w:jc w:val="left"/>
        <w:rPr/>
      </w:pPr>
      <w:r>
        <w:rPr>
          <w:rFonts w:ascii="Times New Roman;serif" w:hAnsi="Times New Roman;serif"/>
          <w:b/>
          <w:color w:val="000000"/>
          <w:sz w:val="20"/>
        </w:rPr>
        <w:t>Legal Proceedings Described in Note</w:t>
      </w:r>
      <w:r>
        <w:rPr>
          <w:color w:val="000000"/>
        </w:rPr>
        <w:t xml:space="preserve"> </w:t>
      </w:r>
      <w:r>
        <w:rPr>
          <w:rFonts w:ascii="Times New Roman;serif" w:hAnsi="Times New Roman;serif"/>
          <w:b/>
          <w:color w:val="000000"/>
          <w:sz w:val="20"/>
        </w:rPr>
        <w:t xml:space="preserve">19, “Commitments and Contingencies,” of Our Consolidated Financial Statements </w:t>
      </w:r>
    </w:p>
    <w:p>
      <w:pPr>
        <w:pStyle w:val="TextBody"/>
        <w:bidi w:val="0"/>
        <w:spacing w:lineRule="auto" w:line="288" w:before="200" w:after="240"/>
        <w:jc w:val="left"/>
        <w:rPr/>
      </w:pPr>
      <w:r>
        <w:rPr>
          <w:rFonts w:ascii="Times New Roman;serif" w:hAnsi="Times New Roman;serif"/>
          <w:b w:val="false"/>
          <w:color w:val="000000"/>
          <w:sz w:val="20"/>
        </w:rPr>
        <w:t>Note</w:t>
      </w:r>
      <w:r>
        <w:rPr>
          <w:color w:val="000000"/>
        </w:rPr>
        <w:t xml:space="preserve"> </w:t>
      </w:r>
      <w:r>
        <w:rPr>
          <w:rFonts w:ascii="Times New Roman;serif" w:hAnsi="Times New Roman;serif"/>
          <w:b w:val="false"/>
          <w:color w:val="000000"/>
          <w:sz w:val="20"/>
        </w:rPr>
        <w:t>19, “Commitments and Contingencies,”</w:t>
      </w:r>
      <w:r>
        <w:rPr>
          <w:color w:val="000000"/>
        </w:rPr>
        <w:t xml:space="preserve"> </w:t>
      </w:r>
      <w:r>
        <w:rPr>
          <w:rFonts w:ascii="Times New Roman;serif" w:hAnsi="Times New Roman;serif"/>
          <w:b w:val="false"/>
          <w:color w:val="000000"/>
          <w:sz w:val="22"/>
        </w:rPr>
        <w:t>t</w:t>
      </w:r>
      <w:r>
        <w:rPr>
          <w:rFonts w:ascii="Times New Roman;serif" w:hAnsi="Times New Roman;serif"/>
          <w:b w:val="false"/>
          <w:color w:val="000000"/>
          <w:sz w:val="20"/>
        </w:rPr>
        <w:t>o our consolidated financial statements for the year ended December 31, 2025 contained in this Annual Report on Form 10-K includes information on legal proceedings that constitute material contingencies for financial reporting purposes that could have a material effect on our financial condition or results of operations. This Item should be read in conjunction with Note 19, “Commitments and Contingencies,”</w:t>
      </w:r>
      <w:r>
        <w:rPr>
          <w:color w:val="000000"/>
        </w:rPr>
        <w:t xml:space="preserve"> </w:t>
      </w:r>
      <w:r>
        <w:rPr>
          <w:rFonts w:ascii="Times New Roman;serif" w:hAnsi="Times New Roman;serif"/>
          <w:b w:val="false"/>
          <w:color w:val="000000"/>
          <w:sz w:val="20"/>
        </w:rPr>
        <w:t>for information regarding the following legal proceedings, which information is incorporated into this Item 3 by reference: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Ethylene Oxide Tort Litigation – California, Georgia, Illinois and New Mexico;</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Insurance Coverage for Environmental Liabilities;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Sotera Health Company Securities Litigation and Related Matters.</w:t>
      </w:r>
    </w:p>
    <w:p>
      <w:pPr>
        <w:pStyle w:val="TextBody"/>
        <w:bidi w:val="0"/>
        <w:spacing w:lineRule="auto" w:line="288" w:before="200" w:after="283"/>
        <w:jc w:val="left"/>
        <w:rPr/>
      </w:pPr>
      <w:r>
        <w:rPr>
          <w:rFonts w:ascii="Times New Roman;serif" w:hAnsi="Times New Roman;serif"/>
          <w:b/>
          <w:color w:val="000000"/>
          <w:sz w:val="20"/>
        </w:rPr>
        <w:t>Legal Proceedings Not Described in Note</w:t>
      </w:r>
      <w:r>
        <w:rPr>
          <w:color w:val="000000"/>
        </w:rPr>
        <w:t xml:space="preserve"> </w:t>
      </w:r>
      <w:r>
        <w:rPr>
          <w:rFonts w:ascii="Times New Roman;serif" w:hAnsi="Times New Roman;serif"/>
          <w:b/>
          <w:color w:val="000000"/>
          <w:sz w:val="20"/>
        </w:rPr>
        <w:t>19, “Commitments and Contingencies,” to Our Consolidated Financial Statements</w:t>
      </w:r>
    </w:p>
    <w:p>
      <w:pPr>
        <w:pStyle w:val="TextBody"/>
        <w:bidi w:val="0"/>
        <w:spacing w:lineRule="auto" w:line="288" w:before="200" w:after="283"/>
        <w:jc w:val="left"/>
        <w:rPr/>
      </w:pPr>
      <w:r>
        <w:rPr>
          <w:rFonts w:ascii="Times New Roman;serif" w:hAnsi="Times New Roman;serif"/>
          <w:b w:val="false"/>
          <w:color w:val="000000"/>
          <w:sz w:val="20"/>
        </w:rPr>
        <w:t>In addition to the matters identified in Note</w:t>
      </w:r>
      <w:r>
        <w:rPr>
          <w:color w:val="000000"/>
        </w:rPr>
        <w:t xml:space="preserve"> </w:t>
      </w:r>
      <w:r>
        <w:rPr>
          <w:rFonts w:ascii="Times New Roman;serif" w:hAnsi="Times New Roman;serif"/>
          <w:b w:val="false"/>
          <w:color w:val="000000"/>
          <w:sz w:val="20"/>
        </w:rPr>
        <w:t xml:space="preserve">19, “Commitments and Contingencies,” to our consolidated financial statements for the year ended December 31, 2025 contained in this Annual Report on Form 10-K, and incorporated into this Item 3 by reference, we report matters, if any, that constitute material pending legal proceedings, other than ordinary course litigation incidental to our business, to which we are or any of our subsidiaries is a party. SEC regulations require disclosure of environmental proceedings that involve a government authority and potential monetary sanctions that the Company reasonably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3"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333" w:before="0" w:after="0"/>
        <w:jc w:val="left"/>
        <w:rPr/>
      </w:pPr>
      <w:hyperlink w:anchor="i27c953b2e3004595bc062f37867a09bd_7">
        <w:r>
          <w:rPr>
            <w:rStyle w:val="InternetLink"/>
            <w:rFonts w:ascii="Times New Roman;serif" w:hAnsi="Times New Roman;serif"/>
            <w:b w:val="false"/>
            <w:color w:val="0000FF"/>
            <w:sz w:val="16"/>
            <w:u w:val="single"/>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believes will exceed a specified threshold. The Company uses a threshold of $1.0 million to determine whether the disclosure of any such proceedings is required because we believe matters under this threshold are not material to 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4"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Part II</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erif" w:hAnsi="Times New Roman;serif"/>
          <w:b/>
          <w:color w:val="000000"/>
          <w:sz w:val="20"/>
        </w:rPr>
        <w:t>Item 5.</w:t>
      </w:r>
      <w:r>
        <w:rPr>
          <w:color w:val="000000"/>
        </w:rPr>
        <w:t xml:space="preserve"> </w:t>
      </w:r>
      <w:r>
        <w:rPr>
          <w:rFonts w:ascii="Times New Roman;serif" w:hAnsi="Times New Roman;serif"/>
          <w:b/>
          <w:color w:val="000000"/>
          <w:sz w:val="20"/>
        </w:rPr>
        <w:t>Market for Registrant’s Common Equity, Related Stockholder Matters and Issuer Purchases of Equity Securities</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 xml:space="preserve">Market Information for Common Stock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Company’s common stock is listed on the Nasdaq under the ticker symbol “SHC.”</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Holders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As of February 17, 2026, we had approximately 75 holders of record of our common stock. This number does not include the beneficial owners of our common stock who hold their shares through banks, brokers or other financial institutions.</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Dividends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do not currently expect to pay any dividends on our common stock. Instead, we intend to use any future earnings for the operation and growth of our business and the repayment of indebtedness.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Future cash dividends on our common stock, if any, will be at the discretion of our board of directors and will depend upon, among other things, our financial condition, earnings, capital requirements, level of indebtedness, statutory and contractual restrictions applicable to the payment of dividends and other considerations that our board of directors may deem relevant.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Because we are a holding company and have no direct operations, we will only be able to pay dividends from our available cash on hand and any funds we receive from our subsidiaries. The agreements governing our existing indebtedness contain negative covenants that limit, among other things, our ability to pay cash dividends on our common stock, and the terms of any future loan agreement into which we may enter or any additional debt securities we may issue are likely to contain similar restrictions on the payment of dividends. In addition, Delaware law imposes requirements that may restrict our ability to pay dividends. </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Stock Performance Graph</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following performance graph compares the cumulative total return to stockholders on our common stock relative to the cumulative total returns of the Nasdaq Composite Index and the Standard and Poor’s 500 Health Care Index. An investment of $100 (with reinvestment of all dividends) is assumed to have been made in our common stock and in each index on November 20, 2020, the date our common stock began trading on the Nasdaq, and its relative performance is tracked through December 31, 2025. The returns shown are based on historical results and are not intended to suggest future performance.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5"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before="0" w:after="0"/>
        <w:jc w:val="left"/>
        <w:rPr/>
      </w:pPr>
      <w:r>
        <w:rPr/>
      </w:r>
    </w:p>
    <w:p>
      <w:pPr>
        <w:pStyle w:val="TextBody"/>
        <w:bidi w:val="0"/>
        <w:spacing w:before="200" w:after="283"/>
        <w:jc w:val="center"/>
        <w:rPr/>
      </w:pPr>
      <w:r>
        <w:rPr/>
        <w:drawing>
          <wp:inline distT="0" distB="0" distL="0" distR="0">
            <wp:extent cx="6515100" cy="4733925"/>
            <wp:effectExtent l="0" t="0" r="0" b="0"/>
            <wp:docPr id="4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2" descr=""/>
                    <pic:cNvPicPr>
                      <a:picLocks noChangeAspect="1" noChangeArrowheads="1"/>
                    </pic:cNvPicPr>
                  </pic:nvPicPr>
                  <pic:blipFill>
                    <a:blip r:embed="rId3"/>
                    <a:stretch>
                      <a:fillRect/>
                    </a:stretch>
                  </pic:blipFill>
                  <pic:spPr bwMode="auto">
                    <a:xfrm>
                      <a:off x="0" y="0"/>
                      <a:ext cx="6515100" cy="4733925"/>
                    </a:xfrm>
                    <a:prstGeom prst="rect">
                      <a:avLst/>
                    </a:prstGeom>
                  </pic:spPr>
                </pic:pic>
              </a:graphicData>
            </a:graphic>
          </wp:inline>
        </w:drawing>
      </w:r>
      <w:bookmarkStart w:id="2" w:name="i-2"/>
      <w:bookmarkEnd w:id="2"/>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performance graph and other information furnished under this Part II Item 5 of this Annual Report on Form 10-K shall not be deemed to be “soliciting material” or to be “filed” with the SEC or subject to Regulation 14A or 14C under, or to the liabilities of Section 18 of, the Exchange 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6. [Reserved]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83"/>
        <w:jc w:val="left"/>
        <w:rPr>
          <w:rFonts w:ascii="Times New Roman;serif" w:hAnsi="Times New Roman;serif"/>
          <w:b/>
          <w:color w:val="000000"/>
          <w:sz w:val="20"/>
        </w:rPr>
      </w:pPr>
      <w:r>
        <w:rPr>
          <w:rFonts w:ascii="Times New Roman;serif" w:hAnsi="Times New Roman;serif"/>
          <w:b/>
          <w:color w:val="000000"/>
          <w:sz w:val="20"/>
        </w:rPr>
        <w:t>Item 7. Management’s Discussion and Analysis of Financial Condition and Results of Operations</w:t>
      </w:r>
    </w:p>
    <w:p>
      <w:pPr>
        <w:pStyle w:val="TextBody"/>
        <w:bidi w:val="0"/>
        <w:spacing w:lineRule="auto" w:line="276" w:before="240" w:after="283"/>
        <w:jc w:val="left"/>
        <w:rPr/>
      </w:pPr>
      <w:r>
        <w:rPr>
          <w:rFonts w:ascii="Times New Roman;serif" w:hAnsi="Times New Roman;serif"/>
          <w:b w:val="false"/>
          <w:i/>
          <w:color w:val="000000"/>
          <w:sz w:val="20"/>
        </w:rPr>
        <w:t xml:space="preserve">You should read this Management’s Discussion and Analysis (“MD&amp;A”) in conjunction with our consolidated financial statements and related notes included elsewhere in this Annual Report on Form 10-K. This MD&amp;A contains forward-looking statements that are based on management’s current expectations, estimates and projections about our business and operations. Our actual results may differ materially from those currently anticipated and expressed in such forward-looking statements as a result of various factors, including the factors we describe in Item 1A, </w:t>
      </w:r>
      <w:r>
        <w:rPr>
          <w:color w:val="000000"/>
        </w:rPr>
        <w:t>“</w:t>
      </w:r>
      <w:r>
        <w:rPr>
          <w:rFonts w:ascii="Times New Roman;serif" w:hAnsi="Times New Roman;serif"/>
          <w:b w:val="false"/>
          <w:i/>
          <w:color w:val="000000"/>
          <w:sz w:val="20"/>
        </w:rPr>
        <w:t>Risk Factors</w:t>
      </w:r>
      <w:r>
        <w:rPr>
          <w:color w:val="000000"/>
        </w:rPr>
        <w:t xml:space="preserve">” </w:t>
      </w:r>
      <w:r>
        <w:rPr>
          <w:rFonts w:ascii="Times New Roman;serif" w:hAnsi="Times New Roman;serif"/>
          <w:b w:val="false"/>
          <w:i/>
          <w:color w:val="000000"/>
          <w:sz w:val="20"/>
        </w:rPr>
        <w:t>and elsewhere in this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100" w:after="283"/>
        <w:jc w:val="left"/>
        <w:rPr/>
      </w:pPr>
      <w:r>
        <w:rPr>
          <w:rFonts w:ascii="Times New Roman;serif" w:hAnsi="Times New Roman;serif"/>
          <w:b w:val="false"/>
          <w:color w:val="000000"/>
          <w:sz w:val="20"/>
        </w:rPr>
        <w:t>We are a leading global provider of mission-critical end-to-end sterilization solutions, lab testing and advisory services for the healthcare industry. We are driven by our mission: Safeguarding Global Health</w:t>
      </w:r>
      <w:r>
        <w:rPr>
          <w:rFonts w:ascii="Times New Roman;serif" w:hAnsi="Times New Roman;serif"/>
          <w:b w:val="false"/>
          <w:color w:val="000000"/>
          <w:sz w:val="10"/>
        </w:rPr>
        <w:t>®</w:t>
      </w:r>
      <w:r>
        <w:rPr>
          <w:rFonts w:ascii="Times New Roman;serif" w:hAnsi="Times New Roman;serif"/>
          <w:b w:val="false"/>
          <w:color w:val="000000"/>
          <w:sz w:val="20"/>
        </w:rPr>
        <w:t>. We provide end-to-end sterilization as well as microbiological and analytical lab testing and advisory services to help ensure that medical, pharmaceutical and food products are safe for healthcare practitioners, patients and consumers in the United States and around the world. Our services are an essential aspect of our customers’ manufacturing processes and supply chains, helping to ensure sterilized medical products reach healthcare practitioners and patients. Most of these services are necessary for our customers to satisfy applicable government requirements.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serve our customers throughout their product lifecycles, from product design to manufacturing and delivery, helping to promote the sterility, effectiveness and safety of their products for the end user. We operate across two core businesses: sterilization services and lab services. Each of our businesses has a longstanding record and is a leader in its respective market, supported and connected by our core capabilities including deep end market, regulatory, technical and logistics expertise. The combination of Sterigenics, our terminal sterilization business, and Nordion, our Co-60 supply business, makes us the only vertically integrated global gamma sterilization provider in the sterilization industry. This provides us with additional insights and allows us to better serve our customers. For financial reporting purposes, our sterilization services business is comprised of two reportable segments, Sterigenics and Nordion, and our lab services business constitutes a third reportable segment, Nelson Labs. </w:t>
      </w:r>
    </w:p>
    <w:p>
      <w:pPr>
        <w:pStyle w:val="TextBody"/>
        <w:bidi w:val="0"/>
        <w:spacing w:lineRule="auto" w:line="288" w:before="240" w:after="283"/>
        <w:jc w:val="left"/>
        <w:rPr/>
      </w:pPr>
      <w:r>
        <w:rPr>
          <w:rFonts w:ascii="Times New Roman;serif" w:hAnsi="Times New Roman;serif"/>
          <w:b w:val="false"/>
          <w:color w:val="000000"/>
          <w:sz w:val="20"/>
        </w:rPr>
        <w:t xml:space="preserve">For the year ended December 31, 2025, we achieved net revenues of $1,163.6 million, net income of $77.9 million, Adjusted Net Income of $245.4 million and Adjusted EBITDA of $593.8 million. Adjusted Net Income and Adjusted EBITDA are financial measures </w:t>
      </w:r>
      <w:r>
        <w:rPr>
          <w:rFonts w:ascii="Times New Roman;serif" w:hAnsi="Times New Roman;serif"/>
          <w:b w:val="false"/>
          <w:color w:val="231F20"/>
          <w:sz w:val="20"/>
        </w:rPr>
        <w:t xml:space="preserve">not based on any standardized methodology prescribed by U.S. Generally Accepted Accounting Principles (“GAAP”). </w:t>
      </w:r>
      <w:r>
        <w:rPr>
          <w:rFonts w:ascii="Times New Roman;serif" w:hAnsi="Times New Roman;serif"/>
          <w:b w:val="false"/>
          <w:color w:val="000000"/>
          <w:sz w:val="20"/>
        </w:rPr>
        <w:t xml:space="preserve">For the definition of Adjusted Net Income and Adjusted EBITDA and the reconciliation of these non-GAAP measures from net income, please see “Non-GAAP Financial Measures.”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TRENDS AND KEY FACTORS AFFECTING OUR RESULTS OF OPERATIONS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expect that our performance and financial condition will continue to be driven by the key trends impacting our industries, customers and their end markets as outlined in Item 1, “Business.” In addition, we believe the following trends and key factors have underpinned our recent operating results and may continue to affect our performance and financial condition in future periods. </w:t>
      </w:r>
    </w:p>
    <w:p>
      <w:pPr>
        <w:pStyle w:val="TextBody"/>
        <w:bidi w:val="0"/>
        <w:spacing w:lineRule="auto" w:line="288" w:before="120" w:after="283"/>
        <w:ind w:left="0" w:right="0" w:hanging="360"/>
        <w:jc w:val="left"/>
        <w:rPr/>
      </w:pPr>
      <w:r>
        <w:rPr>
          <w:color w:val="000000"/>
        </w:rPr>
        <w:t>•</w:t>
      </w:r>
      <w:r>
        <w:rPr>
          <w:rFonts w:ascii="Times New Roman;serif" w:hAnsi="Times New Roman;serif"/>
          <w:b/>
          <w:color w:val="000000"/>
          <w:sz w:val="20"/>
        </w:rPr>
        <w:t>Business and market conditions.</w:t>
      </w:r>
      <w:r>
        <w:rPr>
          <w:color w:val="000000"/>
        </w:rPr>
        <w:t xml:space="preserve"> </w:t>
      </w:r>
      <w:r>
        <w:rPr>
          <w:rFonts w:ascii="Times New Roman;serif" w:hAnsi="Times New Roman;serif"/>
          <w:b w:val="false"/>
          <w:color w:val="000000"/>
          <w:sz w:val="20"/>
        </w:rPr>
        <w:t>Consolidated net revenues for the year ended December 31, 2025 increased by 5.7%</w:t>
      </w:r>
      <w:r>
        <w:rPr>
          <w:color w:val="000000"/>
        </w:rPr>
        <w:t xml:space="preserve"> </w:t>
      </w:r>
      <w:r>
        <w:rPr>
          <w:rFonts w:ascii="Times New Roman;serif" w:hAnsi="Times New Roman;serif"/>
          <w:b w:val="false"/>
          <w:color w:val="000000"/>
          <w:sz w:val="20"/>
        </w:rPr>
        <w:t>from the year ended December 31, 2024, driven by sustained favorability in pricing and volume/mix. All three reportable segments reported segment income growth for the year ended December 31, 2025.</w:t>
      </w:r>
    </w:p>
    <w:p>
      <w:pPr>
        <w:pStyle w:val="TextBody"/>
        <w:bidi w:val="0"/>
        <w:spacing w:lineRule="auto" w:line="288" w:before="120" w:after="283"/>
        <w:ind w:left="0" w:right="0" w:hanging="360"/>
        <w:jc w:val="left"/>
        <w:rPr/>
      </w:pPr>
      <w:r>
        <w:rPr>
          <w:color w:val="000000"/>
          <w:shd w:fill="FFFFFF" w:val="clear"/>
        </w:rPr>
        <w:t>•</w:t>
      </w:r>
      <w:r>
        <w:rPr>
          <w:rFonts w:ascii="Times New Roman;serif" w:hAnsi="Times New Roman;serif"/>
          <w:b/>
          <w:color w:val="000000"/>
          <w:sz w:val="20"/>
        </w:rPr>
        <w:t>Investment initiatives.</w:t>
      </w:r>
      <w:r>
        <w:rPr>
          <w:color w:val="000000"/>
        </w:rPr>
        <w:t xml:space="preserve"> </w:t>
      </w:r>
      <w:r>
        <w:rPr>
          <w:rFonts w:ascii="Times New Roman;serif" w:hAnsi="Times New Roman;serif"/>
          <w:b w:val="false"/>
          <w:color w:val="000000"/>
          <w:sz w:val="20"/>
        </w:rPr>
        <w:t>We continue to advance our growth-related investments, including our two active capacity expansion projects within the Sterigenics segment, Co-60 development projects in the Nordion segment and lab expansion efforts to support pharma testing services in the Nelson Labs segment.</w:t>
      </w:r>
    </w:p>
    <w:p>
      <w:pPr>
        <w:pStyle w:val="TextBody"/>
        <w:bidi w:val="0"/>
        <w:spacing w:lineRule="auto" w:line="288" w:before="120" w:after="283"/>
        <w:ind w:left="0" w:right="0" w:hanging="360"/>
        <w:jc w:val="left"/>
        <w:rPr/>
      </w:pPr>
      <w:r>
        <w:rPr>
          <w:color w:val="000000"/>
        </w:rPr>
        <w:t>•</w:t>
      </w:r>
      <w:r>
        <w:rPr>
          <w:rFonts w:ascii="Times New Roman;serif" w:hAnsi="Times New Roman;serif"/>
          <w:b/>
          <w:color w:val="000000"/>
          <w:sz w:val="20"/>
        </w:rPr>
        <w:t>Disciplined and strategic M&amp;A activity</w:t>
      </w:r>
      <w:r>
        <w:rPr>
          <w:rFonts w:ascii="Times New Roman;serif" w:hAnsi="Times New Roman;serif"/>
          <w:b w:val="false"/>
          <w:color w:val="000000"/>
          <w:sz w:val="20"/>
        </w:rPr>
        <w:t>. We remain committed to our highly disciplined acquisition strategy and continue to seek suitable acquisition targets.</w:t>
      </w:r>
    </w:p>
    <w:p>
      <w:pPr>
        <w:pStyle w:val="TextBody"/>
        <w:bidi w:val="0"/>
        <w:spacing w:lineRule="auto" w:line="288" w:before="120" w:after="283"/>
        <w:ind w:left="0" w:right="0" w:hanging="360"/>
        <w:jc w:val="left"/>
        <w:rPr/>
      </w:pPr>
      <w:r>
        <w:rPr>
          <w:color w:val="000000"/>
        </w:rPr>
        <w:t>•</w:t>
      </w:r>
      <w:r>
        <w:rPr>
          <w:rFonts w:ascii="Times New Roman;serif" w:hAnsi="Times New Roman;serif"/>
          <w:b/>
          <w:color w:val="000000"/>
          <w:sz w:val="20"/>
        </w:rPr>
        <w:t>Borrowings and financing costs</w:t>
      </w:r>
      <w:r>
        <w:rPr>
          <w:rFonts w:ascii="Times New Roman;serif" w:hAnsi="Times New Roman;serif"/>
          <w:b w:val="false"/>
          <w:color w:val="000000"/>
          <w:sz w:val="20"/>
        </w:rPr>
        <w:t>. On April 30, 2025, the Company and SHH entered into Amendment No. 5 to the Credit Agreement. Among other changes, Amendment No. 5 provides (i) for an increase in the commitments under the existing Revolving Credit Facility, (ii) additional commitments for the issuance of letters of credit and (iii) extends the maturity date of the Revolving Credit Facility to April 30, 2030.</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On September 17, 2025, the Company and SHH entered into Amendment No. 6 to the Credit Agreement. Amendment No. 6 reduced the interest rate to Adjusted Term SOFR (as defined in the Credit Agreement) plus 2.50%, with a 0.00% floor. </w:t>
      </w:r>
    </w:p>
    <w:p>
      <w:pPr>
        <w:pStyle w:val="TextBody"/>
        <w:bidi w:val="0"/>
        <w:spacing w:lineRule="auto" w:line="288" w:before="120" w:after="283"/>
        <w:ind w:left="0" w:right="0" w:hanging="360"/>
        <w:jc w:val="left"/>
        <w:rPr/>
      </w:pPr>
      <w:r>
        <w:rPr>
          <w:color w:val="000000"/>
        </w:rPr>
        <w:t>•</w:t>
      </w:r>
      <w:r>
        <w:rPr>
          <w:rFonts w:ascii="Times New Roman;serif" w:hAnsi="Times New Roman;serif"/>
          <w:b/>
          <w:color w:val="000000"/>
          <w:sz w:val="20"/>
        </w:rPr>
        <w:t>Litigation costs</w:t>
      </w:r>
      <w:r>
        <w:rPr>
          <w:rFonts w:ascii="Times New Roman;serif" w:hAnsi="Times New Roman;serif"/>
          <w:b w:val="false"/>
          <w:color w:val="000000"/>
          <w:sz w:val="20"/>
        </w:rPr>
        <w:t>. On April 3, 2025 and July 23, 2025, Sterigenics entered into binding term sheets to resolve 97 and 129 EO claims, respectively, against Sterigenics relating to its former facility in Willowbrook, Illinois. Pursuant to the term sheets, Sterigenics agreed to pay $30.9 million and $34.0 million, respectively, allowing for the settling plaintiffs’ claims to be dismissed with prejudice.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See Item 3, “Legal Proceedings” and Note 19, “Commitments and Contingencies,” to our consolidated financial statements.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 addition, for the years ended December 31, 2025, 2024 and 2023, we recorded $46.2 million, $32.7 million and $45.3 million, respectively, of litigation and other professional fees associated with our EO sterilization facilities.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COMPONENTS OF OUR RESULTS OF OPERATIONS </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 xml:space="preserve">Net Revenues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Service revenues primarily consist of revenue generated from contract sterilization and lab testing and advisory services within our Sterigenics and Nelson Labs segments, respectively. Service revenues also primarily consist of Co-60 installation and disposal revenues and gamma irradiation system refurbishments and installation services within our Nordion segment. Product revenues primarily consist of revenues generated from sales of Co-60 radiation sources and gamma irradiation systems. Provisions for discounts, rebates to customers, and other adjustments may be provided for as reductions in net revenues.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Refunds, returns, warranties and other related obligations are not material to any of our business units, nor do we intend to incur material incremental costs to secure customer contracts. </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 xml:space="preserve">Cost of Revenues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cost of revenues consists primarily of direct materials, utilities, labor and related benefit costs, and depreciation and amortization. Although the cost of utilities and direct materials can fluctuate, the remaining components of cost of revenues are generally more stable. Direct material costs relating to service revenues primarily include EO gas, nitrogen gas and Co-60. The physical decay of Co-60 assets is included within depreciation expense as a cost of revenue. Direct material costs relating to product revenues also include the costs associated with acquiring Co-60 in finished or semi-finished form, acquiring Co-59 in a form ready for insertion into reactors for conversion into Co-60, the reactor time and associated services to convert Co-59 into Co-60, and parts and equipment associated with maintaining gamma irradiation systems. </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 xml:space="preserve">SG&amp;A Expenses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(“SG&amp;A”) primarily consists of compensation and benefits costs and general operating and administrative expenses, including professional service fees (which include finance and legal costs), travel and entertainment expenses, and other general and administrative expenses. Share-based compensation expense is also included in SG&amp;A.</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 xml:space="preserve">Amortization of Intangible Assets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 primarily consists of expense associated with customer relationship, proprietary technology, trade names and other intangible assets. Amortization expense fluctuates when we have an acquisition, disposition, impairment charge, or as asset useful lives expire.</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 xml:space="preserve">Interest Expense, Net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 represents interest paid or accruing on our outstanding indebtedness and the amortization of debt discount and debt issuance costs. Interest expense, net is primarily affected by changes in average outstanding indebtedness (including finance lease obligations) and variable interest rates. We present interest expense net of interest income, which primarily consists of interest earned on cash on hand.</w:t>
      </w:r>
    </w:p>
    <w:p>
      <w:pPr>
        <w:pStyle w:val="TextBody"/>
        <w:bidi w:val="0"/>
        <w:spacing w:lineRule="auto" w:line="288" w:before="24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Loss on Refinancing of Debt</w:t>
      </w:r>
    </w:p>
    <w:p>
      <w:pPr>
        <w:pStyle w:val="TextBody"/>
        <w:bidi w:val="0"/>
        <w:spacing w:lineRule="auto" w:line="288" w:before="120" w:after="283"/>
        <w:jc w:val="left"/>
        <w:rPr/>
      </w:pPr>
      <w:r>
        <w:rPr>
          <w:rFonts w:ascii="Times New Roman;serif" w:hAnsi="Times New Roman;serif"/>
          <w:b w:val="false"/>
          <w:color w:val="000000"/>
          <w:sz w:val="20"/>
        </w:rPr>
        <w:t>Loss on refinancing of debt r</w:t>
      </w:r>
      <w:r>
        <w:rPr>
          <w:rFonts w:ascii="Times New Roman;serif" w:hAnsi="Times New Roman;serif"/>
          <w:b w:val="false"/>
          <w:color w:val="000000"/>
          <w:sz w:val="20"/>
          <w:shd w:fill="FFFFFF" w:val="clear"/>
        </w:rPr>
        <w:t>epresents the write-off of unamortized debt issuance costs and discounts, as well as certain other costs incurred related to the refinancing activity for the Term Loans, the Secured Notes and the Revolving Credit Facility.</w:t>
      </w:r>
    </w:p>
    <w:p>
      <w:pPr>
        <w:pStyle w:val="TextBody"/>
        <w:bidi w:val="0"/>
        <w:spacing w:lineRule="auto" w:line="288" w:before="20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Georgia EO litigation settlement</w:t>
      </w:r>
    </w:p>
    <w:p>
      <w:pPr>
        <w:pStyle w:val="TextBody"/>
        <w:bidi w:val="0"/>
        <w:spacing w:lineRule="auto" w:line="288" w:before="120" w:after="283"/>
        <w:jc w:val="left"/>
        <w:rPr/>
      </w:pPr>
      <w:r>
        <w:rPr>
          <w:rFonts w:ascii="Times New Roman;serif" w:hAnsi="Times New Roman;serif"/>
          <w:b w:val="false"/>
          <w:color w:val="000000"/>
          <w:sz w:val="20"/>
          <w:shd w:fill="FFFFFF" w:val="clear"/>
        </w:rPr>
        <w:t xml:space="preserve">On October 16, 2023, the Company reached an agreement to resolve </w:t>
      </w:r>
      <w:r>
        <w:rPr>
          <w:rFonts w:ascii="Times New Roman;serif" w:hAnsi="Times New Roman;serif"/>
          <w:b w:val="false"/>
          <w:color w:val="000000"/>
          <w:sz w:val="20"/>
        </w:rPr>
        <w:t>79</w:t>
      </w:r>
      <w:r>
        <w:rPr>
          <w:color w:val="000000"/>
          <w:shd w:fill="FFFFFF" w:val="clear"/>
        </w:rPr>
        <w:t xml:space="preserve"> </w:t>
      </w:r>
      <w:r>
        <w:rPr>
          <w:rFonts w:ascii="Times New Roman;serif" w:hAnsi="Times New Roman;serif"/>
          <w:b w:val="false"/>
          <w:color w:val="000000"/>
          <w:sz w:val="20"/>
          <w:shd w:fill="FFFFFF" w:val="clear"/>
        </w:rPr>
        <w:t>EO claims in the State of Georgia. Under the terms of the agreement, the Company paid $35.0 million to settle the claims.</w:t>
      </w:r>
    </w:p>
    <w:p>
      <w:pPr>
        <w:pStyle w:val="TextBody"/>
        <w:bidi w:val="0"/>
        <w:spacing w:lineRule="auto" w:line="288" w:before="20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Illinois EO litigation settlement</w:t>
      </w:r>
    </w:p>
    <w:p>
      <w:pPr>
        <w:pStyle w:val="TextBody"/>
        <w:bidi w:val="0"/>
        <w:spacing w:lineRule="auto" w:line="288" w:before="12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represents the costs related to EO litigation settlement agreements: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On April 3, 2025, the Company reached an agreement to settle approximately 97 pending and threatened EO claims in Illinois. Under the terms of the agreement, the Company paid $30.9 million to settle the claims.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On July 23, 2025 the Company reached an agreement to settle approximately 129 pending and threatened EO claims in Illinois. Under the terms of the agreements, the Company paid $34.0 million to settle the claims.</w:t>
      </w:r>
    </w:p>
    <w:p>
      <w:pPr>
        <w:pStyle w:val="TextBody"/>
        <w:bidi w:val="0"/>
        <w:spacing w:lineRule="auto" w:line="288" w:before="20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Foreign Exchange Loss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loss mainly relates to short-term gains and losses on transactions denominated in currencies other than the functional currency of our operating entities.</w:t>
      </w:r>
    </w:p>
    <w:p>
      <w:pPr>
        <w:pStyle w:val="TextBody"/>
        <w:bidi w:val="0"/>
        <w:spacing w:lineRule="auto" w:line="288" w:before="20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Other Income, Net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Other income, net primarily consists of changes in the fair value of the embedded derivatives in Nordion’s contracts and the net impact of pension-related benefits.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Provision for Income Taxes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 primarily consists of income taxes in foreign jurisdictions and U.S. federal and state income taxes.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Constant Currency Sales Growth (Non-GAAP) </w:t>
      </w:r>
    </w:p>
    <w:p>
      <w:pPr>
        <w:pStyle w:val="TextBody"/>
        <w:bidi w:val="0"/>
        <w:spacing w:lineRule="auto" w:line="288" w:before="120" w:after="283"/>
        <w:jc w:val="left"/>
        <w:rPr>
          <w:color w:val="000000"/>
        </w:rPr>
      </w:pPr>
      <w:r>
        <w:rPr>
          <w:color w:val="000000"/>
        </w:rPr>
        <w:t>“</w:t>
      </w:r>
      <w:r>
        <w:rPr>
          <w:rFonts w:ascii="Times New Roman;serif" w:hAnsi="Times New Roman;serif"/>
          <w:b w:val="false"/>
          <w:color w:val="000000"/>
          <w:sz w:val="20"/>
        </w:rPr>
        <w:t xml:space="preserve">Constant currency” is a non-GAAP financial measure we use to assess performance excluding the impact of foreign currency exchange rate changes. Constant currency sales growth is calculated by translating prior year sales in local currency at the average exchange rates applicable for the current period. The translated results are then used to determine year-over-year percentage increases or decreases. We generally refer to such amounts calculated on a constant currency basis as excluding the impact of foreign currency exchange rates. These results should be considered in addition to, not as a substitute for, results reported in accordance with GAAP. Results on a constant currency basis, as we present them, may not be comparable to similarly titled measures used by other companies and are not measures of performance presented in accordance with U.S. GAAP. </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Adjusted Net Income and Adjusted EBITDA (Non-GAAP)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use Adjusted Net Income and Adjusted EBITDA, non-GAAP financial measures, as the principal measures of our operating performance. Management believes Adjusted Net Income and Adjusted EBITDA are useful because they allow management to more effectively evaluate our operating performance and compare the results of our operations from period to period without the impact of certain non-cash items and non-routine items that we do not expect to continue at the same level in the future and other items that are not core to our operations. We believe that these measures are useful to our investors because they provide a more complete understanding of the factors and trends affecting our business than could be obtained absent this disclosure. In addition, we believe Adjusted Net Income and Adjusted EBITDA will assist investors in making comparisons to our historical operating results and analyzing the underlying performance of our operations for the periods presented. Our management also uses Adjusted Net Income and Adjusted EBITDA in their financial analysis and operational decision-making and Adjusted EBITDA serves as the metric for attainment of our primary annual incentive program. Adjusted Net Income and Adjusted EBITDA may be calculated differently from, and therefore may not be comparable to, a similarly titled measure used by other companies.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For more information regarding our definition and calculation of Adjusted Net Income and Adjusted EBITDA, including information about its limitations as a tool for analysis and reconciliation to the most directly comparable financial measures calculated in accordance with GAAP, please see “Non-GAAP Financial Measures” within this Item 7. </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Segment Income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Segment income is the primary earnings measure we use to evaluate the performance of our reportable segments, as disclosed in Note 21, “Segment and Geographic Information” to our consolidated financial statements. Costs associated with support functions that are not directly associated with one of the three reportable segments, such as corporate operating expenses for executive management, accounting, information technology, legal, human resources, treasury, investor relations, corporate development, tax, purchasing, and marketing, are allocated to the segments primarily based on net revenue. Corporate operating expenses that are directly incurred by a segment are reflected in each segment’s income. Segment income excludes certain items which are included in “Income before taxes” as determined in our Consolidated Statements of Operations and Comprehensive Income (Loss).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CONSOLIDATED RESULTS OF OPERATIONS</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The following section summarizes the consolidated results of operations for the years ended December 31, 2025 and 2024. The discussion of the consolidated results of operation for the years ended December 31, 2024 and 2023 are presented within our Annual Report on Form 10-K for the year ended December 31, 2024 under “Item 7. Management’s Discussion and Analysis of Financial Condition and Results of Operations - Consolidated Results of Operations.”</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 xml:space="preserve">Year Ended December 31, 2025 as compared to Year Ended December 31, 2024 </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sets forth the components of our results of operations for the years ended December 31, 2025 and 2024. </w:t>
      </w:r>
    </w:p>
    <w:tbl>
      <w:tblPr>
        <w:tblW w:w="7643" w:type="dxa"/>
        <w:jc w:val="left"/>
        <w:tblInd w:w="0" w:type="dxa"/>
        <w:tblLayout w:type="fixed"/>
        <w:tblCellMar>
          <w:top w:w="28" w:type="dxa"/>
          <w:left w:w="28" w:type="dxa"/>
          <w:bottom w:w="28" w:type="dxa"/>
          <w:right w:w="28" w:type="dxa"/>
        </w:tblCellMar>
      </w:tblPr>
      <w:tblGrid>
        <w:gridCol w:w="723"/>
        <w:gridCol w:w="635"/>
        <w:gridCol w:w="637"/>
        <w:gridCol w:w="211"/>
        <w:gridCol w:w="991"/>
        <w:gridCol w:w="109"/>
        <w:gridCol w:w="109"/>
        <w:gridCol w:w="109"/>
        <w:gridCol w:w="109"/>
        <w:gridCol w:w="211"/>
        <w:gridCol w:w="976"/>
        <w:gridCol w:w="109"/>
        <w:gridCol w:w="109"/>
        <w:gridCol w:w="109"/>
        <w:gridCol w:w="109"/>
        <w:gridCol w:w="211"/>
        <w:gridCol w:w="721"/>
        <w:gridCol w:w="109"/>
        <w:gridCol w:w="109"/>
        <w:gridCol w:w="109"/>
        <w:gridCol w:w="109"/>
        <w:gridCol w:w="255"/>
        <w:gridCol w:w="256"/>
        <w:gridCol w:w="508"/>
      </w:tblGrid>
      <w:tr>
        <w:trPr/>
        <w:tc>
          <w:tcPr>
            <w:tcW w:w="723"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(thousands of U.S. dollars)</w:t>
            </w:r>
          </w:p>
        </w:tc>
        <w:tc>
          <w:tcPr>
            <w:tcW w:w="13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 Change</w:t>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color w:val="000000"/>
                <w:sz w:val="20"/>
              </w:rPr>
            </w:pPr>
            <w:r>
              <w:rPr>
                <w:rFonts w:ascii="Times New Roman;serif" w:hAnsi="Times New Roman;serif"/>
                <w:b/>
                <w:color w:val="000000"/>
                <w:sz w:val="20"/>
              </w:rPr>
              <w:t>Total net revenues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1,163,617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1,100,441 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5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color w:val="000000"/>
                <w:sz w:val="20"/>
              </w:rPr>
            </w:pPr>
            <w:r>
              <w:rPr>
                <w:rFonts w:ascii="Times New Roman;serif" w:hAnsi="Times New Roman;serif"/>
                <w:b/>
                <w:color w:val="000000"/>
                <w:sz w:val="20"/>
              </w:rPr>
              <w:t>Total cost of revenues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518,083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5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color w:val="000000"/>
                <w:sz w:val="20"/>
              </w:rPr>
            </w:pPr>
            <w:r>
              <w:rPr>
                <w:rFonts w:ascii="Times New Roman;serif" w:hAnsi="Times New Roman;serif"/>
                <w:b/>
                <w:color w:val="000000"/>
                <w:sz w:val="20"/>
              </w:rPr>
              <w:t>Net income</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77,949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w:t>
            </w:r>
          </w:p>
        </w:tc>
        <w:tc>
          <w:tcPr>
            <w:tcW w:w="5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pPr>
            <w:r>
              <w:rPr>
                <w:rFonts w:ascii="Times New Roman;serif" w:hAnsi="Times New Roman;serif"/>
                <w:b/>
                <w:color w:val="000000"/>
                <w:sz w:val="20"/>
              </w:rPr>
              <w:t>Adjusted Net Income</w:t>
            </w:r>
            <w:r>
              <w:rPr>
                <w:rFonts w:ascii="Times New Roman;serif" w:hAnsi="Times New Roman;serif"/>
                <w:b/>
                <w:color w:val="000000"/>
                <w:sz w:val="10"/>
              </w:rPr>
              <w:t>(1)</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245,414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23.6 </w:t>
            </w:r>
          </w:p>
        </w:tc>
        <w:tc>
          <w:tcPr>
            <w:tcW w:w="5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pPr>
            <w:r>
              <w:rPr>
                <w:rFonts w:ascii="Times New Roman;serif" w:hAnsi="Times New Roman;serif"/>
                <w:b/>
                <w:color w:val="000000"/>
                <w:sz w:val="20"/>
              </w:rPr>
              <w:t>Adjusted EBITDA</w:t>
            </w:r>
            <w:r>
              <w:rPr>
                <w:rFonts w:ascii="Times New Roman;serif" w:hAnsi="Times New Roman;serif"/>
                <w:b/>
                <w:color w:val="000000"/>
                <w:sz w:val="10"/>
              </w:rPr>
              <w:t>(1)</w:t>
            </w:r>
          </w:p>
        </w:tc>
        <w:tc>
          <w:tcPr>
            <w:tcW w:w="1202"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593,801</w:t>
            </w:r>
            <w:r>
              <w:rPr>
                <w:color w:val="000000"/>
              </w:rPr>
              <w:t>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548,574 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45,227 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508"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00" w:after="283"/>
        <w:ind w:left="0" w:right="0" w:hanging="450"/>
        <w:jc w:val="left"/>
        <w:rPr/>
      </w:pPr>
      <w:r>
        <w:rPr>
          <w:rFonts w:ascii="Times New Roman;serif" w:hAnsi="Times New Roman;serif"/>
          <w:b w:val="false"/>
          <w:color w:val="000000"/>
          <w:sz w:val="13"/>
        </w:rPr>
        <w:t>(1)</w:t>
      </w:r>
      <w:r>
        <w:rPr>
          <w:rFonts w:ascii="Times New Roman;serif" w:hAnsi="Times New Roman;serif"/>
          <w:b w:val="false"/>
          <w:color w:val="000000"/>
          <w:sz w:val="20"/>
        </w:rPr>
        <w:t xml:space="preserve">Adjusted Net Income and Adjusted EBITDA are non-GAAP financial measures. For more information regarding our calculation of Adjusted Net Income and Adjusted EBITDA, including information about their limitations as tools for analysis and a reconciliation of net income, the most directly comparable financial measure calculated and presented in accordance with GAAP, to Adjusted Net Income and Adjusted EBITDA, please see the reconciliation included below in “Non-GAAP Financial Measures.” </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 xml:space="preserve">Total Net Revenues </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compares our revenues by type for the year ended December 31, 2025 to the year ended December 31, 2024. </w:t>
      </w:r>
    </w:p>
    <w:tbl>
      <w:tblPr>
        <w:tblW w:w="9008" w:type="dxa"/>
        <w:jc w:val="left"/>
        <w:tblInd w:w="0" w:type="dxa"/>
        <w:tblLayout w:type="fixed"/>
        <w:tblCellMar>
          <w:top w:w="28" w:type="dxa"/>
          <w:left w:w="28" w:type="dxa"/>
          <w:bottom w:w="28" w:type="dxa"/>
          <w:right w:w="28" w:type="dxa"/>
        </w:tblCellMar>
      </w:tblPr>
      <w:tblGrid>
        <w:gridCol w:w="1255"/>
        <w:gridCol w:w="1102"/>
        <w:gridCol w:w="1108"/>
        <w:gridCol w:w="211"/>
        <w:gridCol w:w="991"/>
        <w:gridCol w:w="109"/>
        <w:gridCol w:w="109"/>
        <w:gridCol w:w="109"/>
        <w:gridCol w:w="109"/>
        <w:gridCol w:w="211"/>
        <w:gridCol w:w="976"/>
        <w:gridCol w:w="109"/>
        <w:gridCol w:w="109"/>
        <w:gridCol w:w="109"/>
        <w:gridCol w:w="109"/>
        <w:gridCol w:w="211"/>
        <w:gridCol w:w="721"/>
        <w:gridCol w:w="109"/>
        <w:gridCol w:w="109"/>
        <w:gridCol w:w="109"/>
        <w:gridCol w:w="109"/>
        <w:gridCol w:w="203"/>
        <w:gridCol w:w="203"/>
        <w:gridCol w:w="508"/>
      </w:tblGrid>
      <w:tr>
        <w:trPr/>
        <w:tc>
          <w:tcPr>
            <w:tcW w:w="1255"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6"/>
              </w:rPr>
            </w:pPr>
            <w:r>
              <w:rPr>
                <w:rFonts w:ascii="Times New Roman;serif" w:hAnsi="Times New Roman;serif"/>
                <w:b w:val="false"/>
                <w:i/>
                <w:color w:val="000000"/>
                <w:sz w:val="16"/>
              </w:rPr>
              <w:t>(thousands of U.S. dollars)</w:t>
            </w:r>
          </w:p>
          <w:p>
            <w:pPr>
              <w:pStyle w:val="TableContents"/>
              <w:bidi w:val="0"/>
              <w:spacing w:lineRule="auto" w:line="288" w:before="0" w:after="0"/>
              <w:jc w:val="left"/>
              <w:rPr>
                <w:rFonts w:ascii="Times New Roman;serif" w:hAnsi="Times New Roman;serif"/>
                <w:b/>
                <w:color w:val="000000"/>
                <w:sz w:val="16"/>
                <w:u w:val="single"/>
              </w:rPr>
            </w:pPr>
            <w:r>
              <w:rPr>
                <w:rFonts w:ascii="Times New Roman;serif" w:hAnsi="Times New Roman;serif"/>
                <w:b/>
                <w:color w:val="000000"/>
                <w:sz w:val="16"/>
                <w:u w:val="single"/>
              </w:rPr>
              <w:t>Net revenues for the year ended December 31,</w:t>
            </w:r>
          </w:p>
        </w:tc>
        <w:tc>
          <w:tcPr>
            <w:tcW w:w="13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 Change</w:t>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995,756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941,822 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5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167,861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158,619 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5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color w:val="000000"/>
                <w:sz w:val="20"/>
              </w:rPr>
            </w:pPr>
            <w:r>
              <w:rPr>
                <w:rFonts w:ascii="Times New Roman;serif" w:hAnsi="Times New Roman;serif"/>
                <w:b/>
                <w:color w:val="000000"/>
                <w:sz w:val="20"/>
              </w:rPr>
              <w:t>Total net revenues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1,163,617</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1,100,441 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63,176 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5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revenues were $1,163.6 million in the year ended December 31, 2025, an increase of $63.2 million, or 5.7%, as compared with the prior year. Net revenues in the year ended December 31, 2025 increased approximately 5.2% compared with the same period in 2024 on a constant currency basis. </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Service revenues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Service revenues increased $53.9 million, or 5.7%, to $995.8 million in the year ended December 31, 2025 as compared to $941.8 million in the year ended December 31, 2024. Net service revenue growth was driven by favorable pricing of $28.3 million and $6.5 million in the Sterigenics and Nelson Labs segments, respectively, a $24.8 million increase in volume/mix in the Sterigenics segment, a $5.4 million increase in core lab testing service volume/mix in the Nelson Labs segment and a $7.3 million benefit from changes in foreign currency exchange rates. A $5.0 million increase in service revenue in the Nordion segment also contributed to the growth in net service revenues. Partially offsetting these factors was a $23.4 million decline in revenue related to expert advisory services and consulting in the Nelson Labs segment.</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Product revenues </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Product revenues increased $9.2 million, or 5.8%, to $167.9 million in the year ended December 31, 2025 as compared to $158.6 million in the year ended December 31, 2024. Volume and mix growth of $5.5 million coupled with favorable pricing of $4.9 million were the primary drivers of the increase in net product revenues. Partially offsetting these growth factors was an unfavorable change in foreign currency exchange rates of $1.2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Total Cost of Revenues </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compares our cost of revenues by type for the year ended December 31, 2025 to the year ended December 31, 2024.</w:t>
      </w:r>
    </w:p>
    <w:tbl>
      <w:tblPr>
        <w:tblW w:w="8978" w:type="dxa"/>
        <w:jc w:val="left"/>
        <w:tblInd w:w="0" w:type="dxa"/>
        <w:tblLayout w:type="fixed"/>
        <w:tblCellMar>
          <w:top w:w="28" w:type="dxa"/>
          <w:left w:w="28" w:type="dxa"/>
          <w:bottom w:w="28" w:type="dxa"/>
          <w:right w:w="28" w:type="dxa"/>
        </w:tblCellMar>
      </w:tblPr>
      <w:tblGrid>
        <w:gridCol w:w="1352"/>
        <w:gridCol w:w="1188"/>
        <w:gridCol w:w="1195"/>
        <w:gridCol w:w="211"/>
        <w:gridCol w:w="841"/>
        <w:gridCol w:w="109"/>
        <w:gridCol w:w="109"/>
        <w:gridCol w:w="109"/>
        <w:gridCol w:w="109"/>
        <w:gridCol w:w="211"/>
        <w:gridCol w:w="826"/>
        <w:gridCol w:w="109"/>
        <w:gridCol w:w="109"/>
        <w:gridCol w:w="109"/>
        <w:gridCol w:w="109"/>
        <w:gridCol w:w="211"/>
        <w:gridCol w:w="721"/>
        <w:gridCol w:w="109"/>
        <w:gridCol w:w="109"/>
        <w:gridCol w:w="109"/>
        <w:gridCol w:w="109"/>
        <w:gridCol w:w="203"/>
        <w:gridCol w:w="203"/>
        <w:gridCol w:w="508"/>
      </w:tblGrid>
      <w:tr>
        <w:trPr/>
        <w:tc>
          <w:tcPr>
            <w:tcW w:w="1352"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6"/>
              </w:rPr>
            </w:pPr>
            <w:r>
              <w:rPr>
                <w:rFonts w:ascii="Times New Roman;serif" w:hAnsi="Times New Roman;serif"/>
                <w:b w:val="false"/>
                <w:i/>
                <w:color w:val="000000"/>
                <w:sz w:val="16"/>
              </w:rPr>
              <w:t>(thousands of U.S. dollars)</w:t>
            </w:r>
          </w:p>
          <w:p>
            <w:pPr>
              <w:pStyle w:val="TableContents"/>
              <w:bidi w:val="0"/>
              <w:spacing w:lineRule="auto" w:line="288" w:before="0" w:after="0"/>
              <w:jc w:val="left"/>
              <w:rPr>
                <w:rFonts w:ascii="Times New Roman;serif" w:hAnsi="Times New Roman;serif"/>
                <w:b/>
                <w:color w:val="000000"/>
                <w:sz w:val="16"/>
                <w:u w:val="single"/>
              </w:rPr>
            </w:pPr>
            <w:r>
              <w:rPr>
                <w:rFonts w:ascii="Times New Roman;serif" w:hAnsi="Times New Roman;serif"/>
                <w:b/>
                <w:color w:val="000000"/>
                <w:sz w:val="16"/>
                <w:u w:val="single"/>
              </w:rPr>
              <w:t>Cost of revenues for the year ended December 31,</w:t>
            </w:r>
          </w:p>
        </w:tc>
        <w:tc>
          <w:tcPr>
            <w:tcW w:w="11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 Change</w:t>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456,311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439,543 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5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61,772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5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color w:val="000000"/>
                <w:sz w:val="20"/>
              </w:rPr>
            </w:pPr>
            <w:r>
              <w:rPr>
                <w:rFonts w:ascii="Times New Roman;serif" w:hAnsi="Times New Roman;serif"/>
                <w:b/>
                <w:color w:val="000000"/>
                <w:sz w:val="20"/>
              </w:rPr>
              <w:t>Total cost of revenues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518,083</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498,146 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19,937 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5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cost of revenues accounted for approximately 44.5% and 45.3% of our consolidated net revenues for the years ended December 31, 2025 and 2024, respectively. </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Cost of service revenues </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Cost of service revenues increased $16.8 million for the year ended December 31, 2025 as compared to the prior year. The increase was attributable to higher depreciation of $10.4 million related to capital assets recently placed in service as well as inflation, which primarily impacted energy, direct materials, and professional services costs. Partially offsetting these factors was a decrease in labor costs related to expert advisory services in the Nelson Labs segment.</w:t>
      </w:r>
    </w:p>
    <w:p>
      <w:pPr>
        <w:pStyle w:val="TextBody"/>
        <w:bidi w:val="0"/>
        <w:spacing w:lineRule="auto" w:line="288" w:before="200" w:after="283"/>
        <w:jc w:val="left"/>
        <w:rPr/>
      </w:pPr>
      <w:r>
        <w:rPr>
          <w:color w:val="000000"/>
        </w:rPr>
        <w:t> </w:t>
      </w:r>
      <w:r>
        <w:rPr>
          <w:rFonts w:ascii="Times New Roman;serif" w:hAnsi="Times New Roman;serif"/>
          <w:b w:val="false"/>
          <w:i/>
          <w:color w:val="000000"/>
          <w:sz w:val="20"/>
        </w:rPr>
        <w:t xml:space="preserve">Cost of product revenues </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Cost of product revenues increased $3.2 million, or 5.4%, for the year ended December 31, 2025 as compared to the prior year. The change was driven by an increase in product revenue volume and mix, which resulted in increases in direct materials of $6.4 million, partially offset by a $3.7 million decline in amortization of intangible assets that were fully amortized as of December 31, 2024.</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SG&amp;A Expenses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SG&amp;A increased $10.1 million, or 4.2%, for the year ended December 31, 2025 as compared to the prior year. The increase was driven primarily by a $13.5 million increase in litigation and other professional services expense associated with EO sterilization facilities, a $3.5 million increase in other professional services fees, partially offset by a $5.8 million decrease in share-based compensation expense.</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Amortization of intangible assets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 decreased $31.3 million, or 50.5%, for the year ended December 31, 2025, compared to the prior year. The decline was primarily due to certain intangible assets that were fully amortized as of May 2025.</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 xml:space="preserve">Interest Expense, Net </w:t>
      </w:r>
    </w:p>
    <w:p>
      <w:pPr>
        <w:pStyle w:val="TextBody"/>
        <w:bidi w:val="0"/>
        <w:spacing w:lineRule="auto" w:line="288" w:before="100" w:after="283"/>
        <w:jc w:val="left"/>
        <w:rPr/>
      </w:pPr>
      <w:r>
        <w:rPr>
          <w:rFonts w:ascii="Times New Roman;serif" w:hAnsi="Times New Roman;serif"/>
          <w:b w:val="false"/>
          <w:color w:val="000000"/>
          <w:sz w:val="20"/>
        </w:rPr>
        <w:t>Interest expense, net decreased $9.0 million, or 5.4%, for the year ended December 31, 2025 as compared to the prior year. The decrease was due to a lower weighted average interest rate on our outstanding borrowings, partially offset by a lower favorability from interest rate derivative activity, which resulted in a net reduction in interest expense, net of $8.4 million. The weighted average interest rate on our outstanding borrowings for the year ended December 31, 2025 was 7.29% compared to 8.16% for the year ended December 31, 2024.</w:t>
      </w:r>
      <w:r>
        <w:rPr>
          <w:color w:val="000000"/>
        </w:rPr>
        <w:t xml:space="preserve"> </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Loss on Refinancing of Debt</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Loss on refinancing of debt for the year ended December 31, 2025 was $1.5 million primarily relating to the write-off of certain unamortized debt issuance costs and discounts on the Term Loans in connection with Amendment No. 6 to the Credit Agreement. Loss on refinancing of debt for the year ended December 31, 2024 was $24.2 million and occurred in connection with the refinancing of our capital structure in May 2024. This refinancing activity resulted in the write off of certain unamortized debt issuance costs and discounts on the Term Loans due 2026 and the expensing of certain new debt issuance costs and discounts upon the issuance of the Refinancing Term Loans (as defined below) and Secured Notes.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Illinois EO litigation settlements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Amounts presented represent (i) the cost to settle 97 pending and threatened EO claims in Illinois pursuant to the term sheet entered into on April 3, 2025 and (ii) the cost to settle 129 pending and threatened EO claims against Sterigenics in Illinois pursuant to the term sheet entered into on July 23, 2025.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Foreign Exchange Loss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loss was $0.9 million for the year ended December 31, 2025 as compared to $0.2 million in the prior year. Foreign exchange gains and losses in our Consolidated Statements of Operations and Comprehensive Income (Loss) mainly relate to short-term gains and losses on transactions denominated in currencies other than the functional currency of our operating entities. As described in Note 20, “Financial Instruments and Financial Risk”, we enter into foreign currency forward contracts to manage foreign currency exchange rate risk related to our international subsidiaries.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 xml:space="preserve">Other Income, Net </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Other income, net was $8.5 million for the year ended December 31, 2025, an increase of $3.2 million, or 61.1%, as compared to the prior year. The fluctuation was primarily driven by a $3.1 million net favorable change in the fair value of embedded derivatives in Nordion’s purchase and sales contracts.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Provision for Income Taxes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 was $69.6 million for the year ended December 31, 2025 as compared to $69.5 million in the prior year. The change was primarily attributable to an increase in income before income taxes in the year ended December 31, 2025 compared to the prior year, the tax effects for a change in our indefinite reinvestment assertion with respect to a portion of our foreign earnings and an increase in current year permanent tax differences. This was partially offset by recognition of the cumulative tax effects of the change in U.S. income tax laws under the One Big Beautiful Bill Act (“OBBBA”) associated with the accounting for the valuation allowance attributable to the limitation on the deductibility of interest expense.</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 for the year ended December 31, 2025 differed from the statutory rate of 21% primarily due to recognition of the cumulative tax effects of the change in U.S. income tax laws under the OBBBA associated with the accounting for the valuation allowance attributable to the limitation on the deductibility of interest expense. This was offset</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by the tax effects for a change in our indefinite reinvestment assertion with respect to a portion of our foreign earnings, the impact of the foreign rate differential and an increase in current year permanent tax differences. The provision for income taxes for the year ended December 31, 2024 differed from the statutory rate of 21% primarily due to a net increase in the valuation allowance attributable to the limitation on the deductibility of interest expense and the foreign rate differential, partially offset by a benefit for state income taxes.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 xml:space="preserve">Net Income, Adjusted Net Income and Adjusted EBITDA </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for the year ended December 31, 2025 was $77.9 million, as compared to net income of $44.4 million for the year ended December 31, 2024, primarily due to the factors described above. Adjusted Net Income was $245.4 million for the year ended December 31, 2025, as compared to $198.5 million for the year ended December 31, 2024, primarily due to the factors described above. Adjusted EBITDA was $593.8 million for the year ended December 31, 2025, as compared to $548.6 million for the year ended December 31, 2024, primarily due to the factors described above. Please see “Non-GAAP Financial Measures” below for a reconciliation of Adjusted Net Income and Adjusted EBITDA to Net Income, the most directly comparable financial measure calculated and presented in accordance with GAAP.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NON-GAAP FINANCIAL MEASURES</w:t>
      </w:r>
    </w:p>
    <w:p>
      <w:pPr>
        <w:pStyle w:val="TextBody"/>
        <w:bidi w:val="0"/>
        <w:spacing w:lineRule="auto" w:line="288" w:before="200" w:after="283"/>
        <w:jc w:val="left"/>
        <w:rPr>
          <w:rFonts w:ascii="Times New Roman;serif" w:hAnsi="Times New Roman;serif"/>
          <w:b w:val="false"/>
          <w:color w:val="231F20"/>
          <w:sz w:val="20"/>
        </w:rPr>
      </w:pPr>
      <w:r>
        <w:rPr>
          <w:rFonts w:ascii="Times New Roman;serif" w:hAnsi="Times New Roman;serif"/>
          <w:b w:val="false"/>
          <w:color w:val="231F20"/>
          <w:sz w:val="20"/>
        </w:rPr>
        <w:t xml:space="preserve">To supplement our consolidated financial statements presented in accordance with GAAP, we consider Adjusted Net Income and Adjusted EBITDA, financial measures that are not based on any standardized methodology prescribed by GAAP. </w:t>
      </w:r>
    </w:p>
    <w:p>
      <w:pPr>
        <w:pStyle w:val="TextBody"/>
        <w:bidi w:val="0"/>
        <w:spacing w:lineRule="auto" w:line="288" w:before="200" w:after="283"/>
        <w:jc w:val="left"/>
        <w:rPr>
          <w:rFonts w:ascii="Times New Roman;serif" w:hAnsi="Times New Roman;serif"/>
          <w:b w:val="false"/>
          <w:color w:val="231F20"/>
          <w:sz w:val="20"/>
        </w:rPr>
      </w:pPr>
      <w:r>
        <w:rPr>
          <w:rFonts w:ascii="Times New Roman;serif" w:hAnsi="Times New Roman;serif"/>
          <w:b w:val="false"/>
          <w:color w:val="231F20"/>
          <w:sz w:val="20"/>
        </w:rPr>
        <w:t>We define Adjusted Net Income as net income before amortization and certain other adjustments that we do not consider in our evaluation of our ongoing operating performance from period to period as discussed further below. We define Adjusted EBITDA as Adjusted Net Income before interest expense, depreciation (including depreciation of Co-60 used in our operations) and income tax provision applicable to Adjusted Net Income.</w:t>
      </w:r>
    </w:p>
    <w:p>
      <w:pPr>
        <w:pStyle w:val="TextBody"/>
        <w:bidi w:val="0"/>
        <w:spacing w:lineRule="auto" w:line="288" w:before="200" w:after="283"/>
        <w:jc w:val="left"/>
        <w:rPr>
          <w:rFonts w:ascii="Times New Roman;serif" w:hAnsi="Times New Roman;serif"/>
          <w:b w:val="false"/>
          <w:color w:val="231F20"/>
          <w:sz w:val="20"/>
        </w:rPr>
      </w:pPr>
      <w:r>
        <w:rPr>
          <w:rFonts w:ascii="Times New Roman;serif" w:hAnsi="Times New Roman;serif"/>
          <w:b w:val="false"/>
          <w:color w:val="231F20"/>
          <w:sz w:val="20"/>
        </w:rPr>
        <w:t xml:space="preserve">We use Adjusted Net Income and Adjusted EBITDA, non-GAAP financial measures, as the principal measures of our operating performance. Management believes Adjusted Net Income and Adjusted EBITDA are useful because they allow management to more effectively evaluate our operating performance and compare the results of our operations from period to period without the impact of certain non-cash items and non-routine items that we do not expect to continue at the same level in the future and other items that are not core to our operations. We believe that these measures are useful to our investors because they provide a more complete understanding of the factors and trends affecting our business than could be obtained absent this disclosure. In addition, we believe Adjusted Net Income and Adjusted EBITDA will assist investors in making comparisons to our historical operating results and analyzing the underlying performance of our operations for the periods presented. Our management also uses Adjusted Net Income and Adjusted EBITDA in its financial analysis and operational decision-making, and Adjusted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left"/>
        <w:rPr>
          <w:rFonts w:ascii="Times New Roman;serif" w:hAnsi="Times New Roman;serif"/>
          <w:b w:val="false"/>
          <w:color w:val="231F20"/>
          <w:sz w:val="20"/>
        </w:rPr>
      </w:pPr>
      <w:r>
        <w:rPr>
          <w:rFonts w:ascii="Times New Roman;serif" w:hAnsi="Times New Roman;serif"/>
          <w:b w:val="false"/>
          <w:color w:val="231F20"/>
          <w:sz w:val="20"/>
        </w:rPr>
        <w:t>EBITDA serves as the basis for the metric we utilize to determine attainment of our primary annual incentive program. Adjusted Net Income and Adjusted EBITDA may be calculated differently from, and therefore may not be comparable to, a similarly titled measure used by other companies.</w:t>
      </w:r>
    </w:p>
    <w:p>
      <w:pPr>
        <w:pStyle w:val="TextBody"/>
        <w:bidi w:val="0"/>
        <w:spacing w:lineRule="auto" w:line="288" w:before="200" w:after="283"/>
        <w:jc w:val="left"/>
        <w:rPr>
          <w:rFonts w:ascii="Times New Roman;serif" w:hAnsi="Times New Roman;serif"/>
          <w:b w:val="false"/>
          <w:color w:val="231F20"/>
          <w:sz w:val="20"/>
        </w:rPr>
      </w:pPr>
      <w:r>
        <w:rPr>
          <w:rFonts w:ascii="Times New Roman;serif" w:hAnsi="Times New Roman;serif"/>
          <w:b w:val="false"/>
          <w:color w:val="231F20"/>
          <w:sz w:val="20"/>
        </w:rPr>
        <w:t xml:space="preserve">Adjusted Net Income and Adjusted EBITDA should not be considered in isolation from, or as a substitute for, financial information prepared in accordance with GAAP. There are a number of limitations related to the use of Adjusted Net Income and Adjusted EBITDA rather than net income, the nearest GAAP equivalent. For example, Adjusted Net Income and Adjusted EBITDA primarily exclude: </w:t>
      </w:r>
    </w:p>
    <w:p>
      <w:pPr>
        <w:pStyle w:val="TextBody"/>
        <w:bidi w:val="0"/>
        <w:spacing w:lineRule="auto" w:line="288" w:before="100" w:after="283"/>
        <w:ind w:left="0" w:right="0" w:hanging="360"/>
        <w:jc w:val="left"/>
        <w:rPr/>
      </w:pPr>
      <w:r>
        <w:rPr>
          <w:color w:val="231F20"/>
        </w:rPr>
        <w:t>•</w:t>
      </w:r>
      <w:r>
        <w:rPr>
          <w:rFonts w:ascii="Times New Roman;serif" w:hAnsi="Times New Roman;serif"/>
          <w:b w:val="false"/>
          <w:color w:val="231F20"/>
          <w:sz w:val="20"/>
        </w:rPr>
        <w:t>certain recurring non-cash charges such as depreciation of fixed assets, although these assets may have to be replaced in the future, as well as amortization of acquired intangible assets and asset retirement obligations (“ARO”);</w:t>
      </w:r>
    </w:p>
    <w:p>
      <w:pPr>
        <w:pStyle w:val="TextBody"/>
        <w:bidi w:val="0"/>
        <w:spacing w:lineRule="auto" w:line="288" w:before="100" w:after="283"/>
        <w:ind w:left="0" w:right="0" w:hanging="360"/>
        <w:jc w:val="left"/>
        <w:rPr/>
      </w:pPr>
      <w:r>
        <w:rPr>
          <w:color w:val="231F20"/>
        </w:rPr>
        <w:t>•</w:t>
      </w:r>
      <w:r>
        <w:rPr>
          <w:rFonts w:ascii="Times New Roman;serif" w:hAnsi="Times New Roman;serif"/>
          <w:b w:val="false"/>
          <w:color w:val="231F20"/>
          <w:sz w:val="20"/>
        </w:rPr>
        <w:t>costs of acquiring and integrating businesses, which will continue to be a part of our growth strategy;</w:t>
      </w:r>
    </w:p>
    <w:p>
      <w:pPr>
        <w:pStyle w:val="TextBody"/>
        <w:bidi w:val="0"/>
        <w:spacing w:lineRule="auto" w:line="288" w:before="100" w:after="283"/>
        <w:ind w:left="0" w:right="0" w:hanging="360"/>
        <w:jc w:val="left"/>
        <w:rPr/>
      </w:pPr>
      <w:r>
        <w:rPr>
          <w:color w:val="231F20"/>
        </w:rPr>
        <w:t>•</w:t>
      </w:r>
      <w:r>
        <w:rPr>
          <w:rFonts w:ascii="Times New Roman;serif" w:hAnsi="Times New Roman;serif"/>
          <w:b w:val="false"/>
          <w:color w:val="231F20"/>
          <w:sz w:val="20"/>
        </w:rPr>
        <w:t>non-cash gains or losses from fluctuations in foreign currency exchange rates, and the mark-to-fair value of derivatives not designated as hedging instruments, which includes the embedded derivatives relating to certain customer and supply contracts at Nordion;</w:t>
      </w:r>
    </w:p>
    <w:p>
      <w:pPr>
        <w:pStyle w:val="TextBody"/>
        <w:bidi w:val="0"/>
        <w:spacing w:lineRule="auto" w:line="288" w:before="100" w:after="283"/>
        <w:ind w:left="0" w:right="0" w:hanging="360"/>
        <w:jc w:val="left"/>
        <w:rPr/>
      </w:pPr>
      <w:r>
        <w:rPr>
          <w:color w:val="231F20"/>
        </w:rPr>
        <w:t>•</w:t>
      </w:r>
      <w:r>
        <w:rPr>
          <w:rFonts w:ascii="Times New Roman;serif" w:hAnsi="Times New Roman;serif"/>
          <w:b w:val="false"/>
          <w:color w:val="231F20"/>
          <w:sz w:val="20"/>
        </w:rPr>
        <w:t>impairment charges on long-lived assets, intangible assets and investments accounted for under the equity method;</w:t>
      </w:r>
    </w:p>
    <w:p>
      <w:pPr>
        <w:pStyle w:val="TextBody"/>
        <w:bidi w:val="0"/>
        <w:spacing w:lineRule="auto" w:line="288" w:before="100" w:after="283"/>
        <w:ind w:left="0" w:right="0" w:hanging="360"/>
        <w:jc w:val="left"/>
        <w:rPr/>
      </w:pPr>
      <w:r>
        <w:rPr>
          <w:color w:val="231F20"/>
        </w:rPr>
        <w:t>•</w:t>
      </w:r>
      <w:r>
        <w:rPr>
          <w:rFonts w:ascii="Times New Roman;serif" w:hAnsi="Times New Roman;serif"/>
          <w:b w:val="false"/>
          <w:color w:val="231F20"/>
          <w:sz w:val="20"/>
        </w:rPr>
        <w:t>loss on refinancing of debt incurred in connection with refinancing or early extinguishment of long-term debt;</w:t>
      </w:r>
    </w:p>
    <w:p>
      <w:pPr>
        <w:pStyle w:val="TextBody"/>
        <w:bidi w:val="0"/>
        <w:spacing w:lineRule="auto" w:line="288" w:before="100" w:after="283"/>
        <w:ind w:left="0" w:right="0" w:hanging="360"/>
        <w:jc w:val="left"/>
        <w:rPr/>
      </w:pPr>
      <w:r>
        <w:rPr>
          <w:color w:val="231F20"/>
        </w:rPr>
        <w:t>•</w:t>
      </w:r>
      <w:r>
        <w:rPr>
          <w:rFonts w:ascii="Times New Roman;serif" w:hAnsi="Times New Roman;serif"/>
          <w:b w:val="false"/>
          <w:color w:val="231F20"/>
          <w:sz w:val="20"/>
        </w:rPr>
        <w:t>expenses incurred in connection with the secondary offering of our common stock and other shareholder activities;</w:t>
      </w:r>
    </w:p>
    <w:p>
      <w:pPr>
        <w:pStyle w:val="TextBody"/>
        <w:bidi w:val="0"/>
        <w:spacing w:lineRule="auto" w:line="288" w:before="100" w:after="283"/>
        <w:ind w:left="0" w:right="0" w:hanging="360"/>
        <w:jc w:val="left"/>
        <w:rPr/>
      </w:pPr>
      <w:r>
        <w:rPr>
          <w:color w:val="231F20"/>
        </w:rPr>
        <w:t>•</w:t>
      </w:r>
      <w:r>
        <w:rPr>
          <w:rFonts w:ascii="Times New Roman;serif" w:hAnsi="Times New Roman;serif"/>
          <w:b w:val="false"/>
          <w:color w:val="231F20"/>
          <w:sz w:val="20"/>
        </w:rPr>
        <w:t>expenses and charges related to the litigation, settlement agreements, and other activities associated with our EO sterilization facilities, including those related to Willowbrook, Illinois, Atlanta, Georgia, Santa Teresa, New Mexico and Vernon, California;</w:t>
      </w:r>
    </w:p>
    <w:p>
      <w:pPr>
        <w:pStyle w:val="TextBody"/>
        <w:bidi w:val="0"/>
        <w:spacing w:lineRule="auto" w:line="288" w:before="100" w:after="283"/>
        <w:ind w:left="0" w:right="0" w:hanging="360"/>
        <w:jc w:val="left"/>
        <w:rPr/>
      </w:pPr>
      <w:r>
        <w:rPr>
          <w:color w:val="231F20"/>
        </w:rPr>
        <w:t>•</w:t>
      </w:r>
      <w:r>
        <w:rPr>
          <w:rFonts w:ascii="Times New Roman;serif" w:hAnsi="Times New Roman;serif"/>
          <w:b w:val="false"/>
          <w:color w:val="231F20"/>
          <w:sz w:val="20"/>
        </w:rPr>
        <w:t>in the case of Adjusted EBITDA, interest expense or the cash requirements necessary to service interest or principal payments on our indebtedness; and</w:t>
      </w:r>
    </w:p>
    <w:p>
      <w:pPr>
        <w:pStyle w:val="TextBody"/>
        <w:bidi w:val="0"/>
        <w:spacing w:lineRule="auto" w:line="288" w:before="100" w:after="283"/>
        <w:ind w:left="0" w:right="0" w:hanging="360"/>
        <w:jc w:val="left"/>
        <w:rPr/>
      </w:pPr>
      <w:r>
        <w:rPr>
          <w:color w:val="231F20"/>
        </w:rPr>
        <w:t>•</w:t>
      </w:r>
      <w:r>
        <w:rPr>
          <w:rFonts w:ascii="Times New Roman;serif" w:hAnsi="Times New Roman;serif"/>
          <w:b w:val="false"/>
          <w:color w:val="231F20"/>
          <w:sz w:val="20"/>
        </w:rPr>
        <w:t>share-based compensation expense, which has been, and will continue to be for the foreseeable future, a significant recurring expense and an important part of our compensation strategy.</w:t>
      </w:r>
    </w:p>
    <w:p>
      <w:pPr>
        <w:pStyle w:val="TextBody"/>
        <w:bidi w:val="0"/>
        <w:spacing w:lineRule="auto" w:line="288" w:before="200" w:after="283"/>
        <w:jc w:val="left"/>
        <w:rPr>
          <w:rFonts w:ascii="Times New Roman;serif" w:hAnsi="Times New Roman;serif"/>
          <w:b w:val="false"/>
          <w:color w:val="231F20"/>
          <w:sz w:val="20"/>
        </w:rPr>
      </w:pPr>
      <w:r>
        <w:rPr>
          <w:rFonts w:ascii="Times New Roman;serif" w:hAnsi="Times New Roman;serif"/>
          <w:b w:val="false"/>
          <w:color w:val="231F20"/>
          <w:sz w:val="20"/>
        </w:rPr>
        <w:t>In evaluating Adjusted Net Income and Adjusted EBITDA, you should be aware that, in the future, we will incur expenses similar to the adjustments in this presentation. Our presentations of Adjusted Net Income and Adjusted EBITDA should not be construed as suggesting that our future results will be unaffected by these expenses or any unusual or non-recurring items. When evaluating our performance, you should consider Adjusted Net Income and Adjusted EBITDA alongside other financial performance measures, including our net income and other GAAP measures.</w:t>
      </w:r>
    </w:p>
    <w:p>
      <w:pPr>
        <w:pStyle w:val="TextBody"/>
        <w:bidi w:val="0"/>
        <w:spacing w:lineRule="auto" w:line="288" w:before="200" w:after="283"/>
        <w:jc w:val="left"/>
        <w:rPr>
          <w:rFonts w:ascii="Times New Roman;serif" w:hAnsi="Times New Roman;serif"/>
          <w:b w:val="false"/>
          <w:color w:val="231F20"/>
          <w:sz w:val="20"/>
        </w:rPr>
      </w:pPr>
      <w:r>
        <w:rPr>
          <w:rFonts w:ascii="Times New Roman;serif" w:hAnsi="Times New Roman;serif"/>
          <w:b w:val="false"/>
          <w:color w:val="231F20"/>
          <w:sz w:val="20"/>
        </w:rPr>
        <w:t>The following table presents a reconciliation of net income, the most directly comparable financial measure calculated and presented in accordance with GAAP to Adjusted Net Income and Adjusted EBITDA, for each of the periods indicated:</w:t>
      </w:r>
    </w:p>
    <w:tbl>
      <w:tblPr>
        <w:tblW w:w="9471" w:type="dxa"/>
        <w:jc w:val="left"/>
        <w:tblInd w:w="0" w:type="dxa"/>
        <w:tblLayout w:type="fixed"/>
        <w:tblCellMar>
          <w:top w:w="28" w:type="dxa"/>
          <w:left w:w="28" w:type="dxa"/>
          <w:bottom w:w="28" w:type="dxa"/>
          <w:right w:w="28" w:type="dxa"/>
        </w:tblCellMar>
      </w:tblPr>
      <w:tblGrid>
        <w:gridCol w:w="2416"/>
        <w:gridCol w:w="2127"/>
        <w:gridCol w:w="2132"/>
        <w:gridCol w:w="109"/>
        <w:gridCol w:w="109"/>
        <w:gridCol w:w="109"/>
        <w:gridCol w:w="196"/>
        <w:gridCol w:w="751"/>
        <w:gridCol w:w="109"/>
        <w:gridCol w:w="109"/>
        <w:gridCol w:w="109"/>
        <w:gridCol w:w="109"/>
        <w:gridCol w:w="196"/>
        <w:gridCol w:w="736"/>
        <w:gridCol w:w="154"/>
      </w:tblGrid>
      <w:tr>
        <w:trPr/>
        <w:tc>
          <w:tcPr>
            <w:tcW w:w="2416" w:type="dxa"/>
            <w:tcBorders/>
            <w:vAlign w:val="center"/>
          </w:tcPr>
          <w:p>
            <w:pPr>
              <w:pStyle w:val="TableContents"/>
              <w:bidi w:val="0"/>
              <w:spacing w:before="0" w:after="283"/>
              <w:jc w:val="left"/>
              <w:rPr>
                <w:sz w:val="4"/>
                <w:szCs w:val="4"/>
              </w:rPr>
            </w:pPr>
            <w:r>
              <w:rPr>
                <w:sz w:val="4"/>
                <w:szCs w:val="4"/>
              </w:rPr>
            </w:r>
          </w:p>
        </w:tc>
        <w:tc>
          <w:tcPr>
            <w:tcW w:w="2127" w:type="dxa"/>
            <w:tcBorders/>
            <w:vAlign w:val="center"/>
          </w:tcPr>
          <w:p>
            <w:pPr>
              <w:pStyle w:val="TableContents"/>
              <w:bidi w:val="0"/>
              <w:spacing w:before="0" w:after="283"/>
              <w:jc w:val="left"/>
              <w:rPr>
                <w:sz w:val="4"/>
                <w:szCs w:val="4"/>
              </w:rPr>
            </w:pPr>
            <w:r>
              <w:rPr>
                <w:sz w:val="4"/>
                <w:szCs w:val="4"/>
              </w:rPr>
            </w:r>
          </w:p>
        </w:tc>
        <w:tc>
          <w:tcPr>
            <w:tcW w:w="2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6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6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77,949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44,398 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41,798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79,377 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Share-based compensation</w:t>
            </w:r>
            <w:r>
              <w:rPr>
                <w:rFonts w:ascii="Times New Roman;serif" w:hAnsi="Times New Roman;serif"/>
                <w:b w:val="false"/>
                <w:color w:val="000000"/>
                <w:sz w:val="12"/>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31,068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36,896 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Loss on refinancing of debt</w:t>
            </w:r>
            <w:r>
              <w:rPr>
                <w:rFonts w:ascii="Times New Roman;serif" w:hAnsi="Times New Roman;serif"/>
                <w:b w:val="false"/>
                <w:color w:val="000000"/>
                <w:sz w:val="12"/>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1,462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Loss (gain) on foreign currency and derivatives not designated as hedging instruments, net</w:t>
            </w:r>
            <w:r>
              <w:rPr>
                <w:rFonts w:ascii="Times New Roman;serif" w:hAnsi="Times New Roman;serif"/>
                <w:b w:val="false"/>
                <w:color w:val="000000"/>
                <w:sz w:val="12"/>
              </w:rPr>
              <w:t>(c)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Business optimization expenses</w:t>
            </w:r>
            <w:r>
              <w:rPr>
                <w:rFonts w:ascii="Times New Roman;serif" w:hAnsi="Times New Roman;serif"/>
                <w:b w:val="false"/>
                <w:color w:val="000000"/>
                <w:sz w:val="12"/>
              </w:rPr>
              <w:t>(d)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8,068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Professional services relating to EO sterilization facilities</w:t>
            </w:r>
            <w:r>
              <w:rPr>
                <w:rFonts w:ascii="Times New Roman;serif" w:hAnsi="Times New Roman;serif"/>
                <w:b w:val="false"/>
                <w:color w:val="000000"/>
                <w:sz w:val="12"/>
              </w:rPr>
              <w: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46,225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32,694 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Illinois EO litigation settlements</w:t>
            </w:r>
            <w:r>
              <w:rPr>
                <w:rFonts w:ascii="Times New Roman;serif" w:hAnsi="Times New Roman;serif"/>
                <w:b w:val="false"/>
                <w:color w:val="000000"/>
                <w:sz w:val="12"/>
              </w:rPr>
              <w:t>(f)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64,943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Accretion of asset retirement obligations</w:t>
            </w:r>
            <w:r>
              <w:rPr>
                <w:rFonts w:ascii="Times New Roman;serif" w:hAnsi="Times New Roman;serif"/>
                <w:b w:val="false"/>
                <w:color w:val="000000"/>
                <w:sz w:val="12"/>
              </w:rPr>
              <w:t>(g)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2,321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Income tax benefit associated with pre-tax adjustments</w:t>
            </w:r>
            <w:r>
              <w:rPr>
                <w:rFonts w:ascii="Times New Roman;serif" w:hAnsi="Times New Roman;serif"/>
                <w:b w:val="false"/>
                <w:color w:val="000000"/>
                <w:sz w:val="12"/>
              </w:rPr>
              <w:t>(h)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(28,478)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(33,487)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Adjusted 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245,414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198,500 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155,722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164,691 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Depreciation</w:t>
            </w:r>
            <w:r>
              <w:rPr>
                <w:rFonts w:ascii="Times New Roman;serif" w:hAnsi="Times New Roman;serif"/>
                <w:b w:val="false"/>
                <w:color w:val="000000"/>
                <w:sz w:val="12"/>
              </w:rPr>
              <w:t>(i)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94,630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82,420 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Income tax provision applicable to Adjusted Net Income</w:t>
            </w:r>
            <w:r>
              <w:rPr>
                <w:rFonts w:ascii="Times New Roman;serif" w:hAnsi="Times New Roman;serif"/>
                <w:b w:val="false"/>
                <w:color w:val="000000"/>
                <w:sz w:val="12"/>
              </w:rPr>
              <w:t>(j)</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98,035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102,963 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Adjusted EBITDA</w:t>
            </w:r>
            <w:r>
              <w:rPr>
                <w:rFonts w:ascii="Times New Roman;serif" w:hAnsi="Times New Roman;serif"/>
                <w:b/>
                <w:color w:val="000000"/>
                <w:sz w:val="12"/>
              </w:rPr>
              <w:t>(k)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593,801</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548,574 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pPr>
      <w:r>
        <w:rPr>
          <w:rFonts w:ascii="Times New Roman;serif" w:hAnsi="Times New Roman;serif"/>
          <w:b w:val="false"/>
          <w:color w:val="231F20"/>
          <w:sz w:val="20"/>
          <w:shd w:fill="FFFFFF" w:val="clear"/>
        </w:rPr>
        <w:t>(a)</w:t>
      </w:r>
      <w:r>
        <w:rPr>
          <w:rFonts w:ascii="Times New Roman;serif" w:hAnsi="Times New Roman;serif"/>
          <w:b w:val="false"/>
          <w:color w:val="000000"/>
          <w:sz w:val="20"/>
          <w:shd w:fill="FFFFFF" w:val="clear"/>
        </w:rPr>
        <w:t>Represents share-based compensation expense related to employees and Non-Employee Directors. See Note 15, “Share-Based Compensation” for further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(b)Represents the write-off of unamortized debt issuance costs and discounts, as well as certain other costs incurred related to the refinancing activity for the Term Loans, the Secured Notes and the Revolving Credit Facility.</w:t>
      </w:r>
    </w:p>
    <w:p>
      <w:pPr>
        <w:pStyle w:val="TextBody"/>
        <w:bidi w:val="0"/>
        <w:spacing w:lineRule="auto" w:line="288" w:before="40" w:after="283"/>
        <w:ind w:left="0" w:right="0" w:hanging="360"/>
        <w:jc w:val="left"/>
        <w:rPr/>
      </w:pPr>
      <w:r>
        <w:rPr>
          <w:rFonts w:ascii="Times New Roman;serif" w:hAnsi="Times New Roman;serif"/>
          <w:b w:val="false"/>
          <w:color w:val="231F20"/>
          <w:sz w:val="20"/>
          <w:shd w:fill="FFFFFF" w:val="clear"/>
        </w:rPr>
        <w:t>(c)</w:t>
      </w:r>
      <w:r>
        <w:rPr>
          <w:rFonts w:ascii="Times New Roman;serif" w:hAnsi="Times New Roman;serif"/>
          <w:b w:val="false"/>
          <w:color w:val="000000"/>
          <w:sz w:val="20"/>
          <w:shd w:fill="FFFFFF" w:val="clear"/>
        </w:rPr>
        <w:t xml:space="preserve">Represents the effects of (i) fluctuations in foreign currency exchange rates and (ii) non-cash mark-to-fair value of embedded derivatives relating to certain customer and supply contracts at Nordion. </w:t>
      </w:r>
    </w:p>
    <w:p>
      <w:pPr>
        <w:pStyle w:val="TextBody"/>
        <w:bidi w:val="0"/>
        <w:spacing w:lineRule="auto" w:line="288" w:before="40" w:after="283"/>
        <w:ind w:left="0" w:right="0" w:hanging="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(d)Represents (i) certain costs related to divestitures, acquisitions and the integration of acquisitions, (ii) professional fees and other costs associated with business optimization, cost saving and other process enhancement projects, and (iii) legal, consulting, and other fees associated with secondary offerings and shareholder engagement.</w:t>
      </w:r>
    </w:p>
    <w:p>
      <w:pPr>
        <w:pStyle w:val="TextBody"/>
        <w:bidi w:val="0"/>
        <w:spacing w:lineRule="auto" w:line="288" w:before="40" w:after="283"/>
        <w:ind w:left="0" w:right="0" w:hanging="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(e)Represents litigation and other professional fees associated with our EO sterilization facilities.</w:t>
      </w:r>
    </w:p>
    <w:p>
      <w:pPr>
        <w:pStyle w:val="TextBody"/>
        <w:bidi w:val="0"/>
        <w:spacing w:lineRule="auto" w:line="288" w:before="40" w:after="283"/>
        <w:ind w:left="0" w:right="0" w:hanging="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(f)Represents (i) the cost to settle 97 pending and threatened EO claims against Sterigenics in Illinois pursuant to the term sheet entered into on April 3, 2025 and (ii) the cost to settle 129 pending and threatened EO claims against Sterigenics in Illinois pursuant to the term sheet entered into on July 23, 2025. See Note 19, “Commitments and Contingencies.”</w:t>
      </w:r>
    </w:p>
    <w:p>
      <w:pPr>
        <w:pStyle w:val="TextBody"/>
        <w:bidi w:val="0"/>
        <w:spacing w:lineRule="auto" w:line="288" w:before="40" w:after="283"/>
        <w:ind w:left="0" w:right="0" w:hanging="360"/>
        <w:jc w:val="left"/>
        <w:rPr/>
      </w:pPr>
      <w:r>
        <w:rPr>
          <w:rFonts w:ascii="Times New Roman;serif" w:hAnsi="Times New Roman;serif"/>
          <w:b w:val="false"/>
          <w:color w:val="231F20"/>
          <w:sz w:val="20"/>
          <w:shd w:fill="FFFFFF" w:val="clear"/>
        </w:rPr>
        <w:t>(g)</w:t>
      </w:r>
      <w:r>
        <w:rPr>
          <w:rFonts w:ascii="Times New Roman;serif" w:hAnsi="Times New Roman;serif"/>
          <w:b w:val="false"/>
          <w:color w:val="000000"/>
          <w:sz w:val="20"/>
          <w:shd w:fill="FFFFFF" w:val="clear"/>
        </w:rPr>
        <w:t>Represents non-cash accretion of ARO related to Co-60 gamma and EO processing facilities, which are based on estimated site remediation costs for any future decommissioning of these facilities and are accreted over the life of the asset.</w:t>
      </w:r>
    </w:p>
    <w:p>
      <w:pPr>
        <w:pStyle w:val="TextBody"/>
        <w:bidi w:val="0"/>
        <w:spacing w:lineRule="auto" w:line="288" w:before="40" w:after="283"/>
        <w:ind w:left="0" w:right="0" w:hanging="360"/>
        <w:jc w:val="left"/>
        <w:rPr>
          <w:rFonts w:ascii="Times New Roman;serif" w:hAnsi="Times New Roman;serif"/>
          <w:b w:val="false"/>
          <w:color w:val="231F20"/>
          <w:sz w:val="20"/>
          <w:shd w:fill="FFFFFF" w:val="clear"/>
        </w:rPr>
      </w:pPr>
      <w:r>
        <w:rPr>
          <w:rFonts w:ascii="Times New Roman;serif" w:hAnsi="Times New Roman;serif"/>
          <w:b w:val="false"/>
          <w:color w:val="231F20"/>
          <w:sz w:val="20"/>
          <w:shd w:fill="FFFFFF" w:val="clear"/>
        </w:rPr>
        <w:t>(h)Represents the income tax impact of adjustments calculated based on the tax rate applicable to each item. We eliminate the effect of tax rate changes as applied to tax assets and liabilities, and unusual items from our presentation of adjusted net income.</w:t>
      </w:r>
    </w:p>
    <w:p>
      <w:pPr>
        <w:pStyle w:val="TextBody"/>
        <w:bidi w:val="0"/>
        <w:spacing w:lineRule="auto" w:line="288" w:before="40" w:after="283"/>
        <w:ind w:left="0" w:right="0" w:hanging="360"/>
        <w:jc w:val="left"/>
        <w:rPr>
          <w:rFonts w:ascii="Times New Roman;serif" w:hAnsi="Times New Roman;serif"/>
          <w:b w:val="false"/>
          <w:color w:val="231F20"/>
          <w:sz w:val="20"/>
          <w:shd w:fill="FFFFFF" w:val="clear"/>
        </w:rPr>
      </w:pPr>
      <w:r>
        <w:rPr>
          <w:rFonts w:ascii="Times New Roman;serif" w:hAnsi="Times New Roman;serif"/>
          <w:b w:val="false"/>
          <w:color w:val="231F20"/>
          <w:sz w:val="20"/>
          <w:shd w:fill="FFFFFF" w:val="clear"/>
        </w:rPr>
        <w:t xml:space="preserve">(i)Includes depreciation of Co-60 held at gamma irradiation sites and excludes accelerated depreciation associated with business optimization activities. </w:t>
      </w:r>
    </w:p>
    <w:p>
      <w:pPr>
        <w:pStyle w:val="TextBody"/>
        <w:bidi w:val="0"/>
        <w:spacing w:lineRule="auto" w:line="288" w:before="40" w:after="283"/>
        <w:ind w:left="0" w:right="0" w:hanging="360"/>
        <w:jc w:val="left"/>
        <w:rPr>
          <w:rFonts w:ascii="Times New Roman;serif" w:hAnsi="Times New Roman;serif"/>
          <w:b w:val="false"/>
          <w:color w:val="231F20"/>
          <w:sz w:val="20"/>
          <w:shd w:fill="FFFFFF" w:val="clear"/>
        </w:rPr>
      </w:pPr>
      <w:r>
        <w:rPr>
          <w:rFonts w:ascii="Times New Roman;serif" w:hAnsi="Times New Roman;serif"/>
          <w:b w:val="false"/>
          <w:color w:val="231F20"/>
          <w:sz w:val="20"/>
          <w:shd w:fill="FFFFFF" w:val="clear"/>
        </w:rPr>
        <w:t>(j)Represents the difference between the income tax provision/benefit as determined under U.S. GAAP and the income tax provision (benefit) associated with pre-tax adjustments described in footnote (h).</w:t>
      </w:r>
    </w:p>
    <w:p>
      <w:pPr>
        <w:pStyle w:val="TextBody"/>
        <w:bidi w:val="0"/>
        <w:spacing w:lineRule="auto" w:line="288" w:before="40" w:after="283"/>
        <w:ind w:left="0" w:right="0" w:hanging="360"/>
        <w:jc w:val="left"/>
        <w:rPr/>
      </w:pPr>
      <w:r>
        <w:rPr>
          <w:rFonts w:ascii="Times New Roman;serif" w:hAnsi="Times New Roman;serif"/>
          <w:b w:val="false"/>
          <w:color w:val="231F20"/>
          <w:sz w:val="20"/>
          <w:shd w:fill="FFFFFF" w:val="clear"/>
        </w:rPr>
        <w:t xml:space="preserve">(k)$99.9 million and $97.1 million of the adjustments for the </w:t>
      </w:r>
      <w:r>
        <w:rPr>
          <w:rFonts w:ascii="Times New Roman;serif" w:hAnsi="Times New Roman;serif"/>
          <w:b w:val="false"/>
          <w:color w:val="000000"/>
          <w:sz w:val="20"/>
          <w:shd w:fill="FFFFFF" w:val="clear"/>
        </w:rPr>
        <w:t xml:space="preserve">year ended December 31, 2025 and </w:t>
      </w:r>
      <w:r>
        <w:rPr>
          <w:rFonts w:ascii="Times New Roman;serif" w:hAnsi="Times New Roman;serif"/>
          <w:b w:val="false"/>
          <w:color w:val="231F20"/>
          <w:sz w:val="20"/>
          <w:shd w:fill="FFFFFF" w:val="clear"/>
        </w:rPr>
        <w:t>2024, respectively, are included in cost of revenues, primarily consisting of amortization of intangible assets, depreciation, and accretion of ARO.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SEGMENT RESULTS OF OPERATIONS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have three reportable segments: Sterigenics, Nordion and Nelson Labs. Our chief operating decision maker evaluates performance and allocates resources within our business based on segment income, which excludes certain items which are included in income before tax as determined in our Consolidated Statements of Operations and Comprehensive Income (Loss). The accounting policies for our reportable segments are the same as those for the consolidated Company. </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 xml:space="preserve">Our Segments </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 xml:space="preserve">Sterigenics </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Sterigenics business provides outsourced terminal sterilization and irradiation services for the medical device, pharmaceutical, food safety and advanced applications markets using three major technologies: gamma irradiation, EO processing and E-beam irradiation. </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 xml:space="preserve">Nordion </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Nordion business is a leading global provider of Co-60 used in the sterilization and irradiation processes for the medical device, pharmaceutical, food safety, and high-performance materials industries, as well as in the treatment of cancer. In addition, Nordion is a leading global provider of gamma irradiation systems.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As a result of the time required to meet regulatory and logistics requirements for delivery of radioactive products, combined with accommodations that we make to our customers to minimize disruptions to their operations during the installation of Co-60, Nordion sales patterns can often vary significantly from one quarter to the next. In most cases, however, timing-related impacts on our sales performance tend to be resolved within several quarters, resulting in more consistent performance over longer periods of time. In addition, sales of gamma irradiation systems occur infrequently and tend to be for larger amounts.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 xml:space="preserve">Nelson Labs </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Nelson Labs business provides outsourced microbiological and analytical chemistry testing and advisory services for the medical device and pharmaceutical industries.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For more information regarding our reportable segments please refer to Item 1. “Business” and Note 21, “Segment and Geographic Information” to our consolidated financial statements. </w:t>
      </w:r>
    </w:p>
    <w:p>
      <w:pPr>
        <w:pStyle w:val="TextBody"/>
        <w:bidi w:val="0"/>
        <w:spacing w:lineRule="auto" w:line="288" w:before="0" w:after="0"/>
        <w:jc w:val="left"/>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 xml:space="preserve">Segment Results for the Years Ended December 31, 2025 and 2024 </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The following section summarizes the segment results for the years ended December 31, 2025 and 2024. The discussion of the segment results for the years ended December 31, 2024 and 2023 are presented within our Annual Report on Form 10-K for the year ended December 31, 2024 under “Item 7. Management’s Discussion and Analysis of Financial Condition and Results of Operations - Segment Results for the years ended December 31, 2023 and 2022.”</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tables compare segment net revenue and segment income for the year ended December 31, 2025 to the year ended December 31, 2024: </w:t>
      </w:r>
    </w:p>
    <w:tbl>
      <w:tblPr>
        <w:tblW w:w="7878" w:type="dxa"/>
        <w:jc w:val="left"/>
        <w:tblInd w:w="0" w:type="dxa"/>
        <w:tblLayout w:type="fixed"/>
        <w:tblCellMar>
          <w:top w:w="28" w:type="dxa"/>
          <w:left w:w="28" w:type="dxa"/>
          <w:bottom w:w="28" w:type="dxa"/>
          <w:right w:w="28" w:type="dxa"/>
        </w:tblCellMar>
      </w:tblPr>
      <w:tblGrid>
        <w:gridCol w:w="799"/>
        <w:gridCol w:w="702"/>
        <w:gridCol w:w="703"/>
        <w:gridCol w:w="211"/>
        <w:gridCol w:w="841"/>
        <w:gridCol w:w="301"/>
        <w:gridCol w:w="109"/>
        <w:gridCol w:w="109"/>
        <w:gridCol w:w="109"/>
        <w:gridCol w:w="211"/>
        <w:gridCol w:w="826"/>
        <w:gridCol w:w="271"/>
        <w:gridCol w:w="109"/>
        <w:gridCol w:w="109"/>
        <w:gridCol w:w="109"/>
        <w:gridCol w:w="211"/>
        <w:gridCol w:w="721"/>
        <w:gridCol w:w="109"/>
        <w:gridCol w:w="109"/>
        <w:gridCol w:w="109"/>
        <w:gridCol w:w="109"/>
        <w:gridCol w:w="210"/>
        <w:gridCol w:w="211"/>
        <w:gridCol w:w="570"/>
      </w:tblGrid>
      <w:tr>
        <w:trPr/>
        <w:tc>
          <w:tcPr>
            <w:tcW w:w="799"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2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35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 Change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 Change </w:t>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Revenues</w:t>
            </w:r>
          </w:p>
        </w:tc>
        <w:tc>
          <w:tcPr>
            <w:tcW w:w="13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color w:val="000000"/>
                <w:sz w:val="20"/>
              </w:rPr>
            </w:pPr>
            <w:r>
              <w:rPr>
                <w:rFonts w:ascii="Times New Roman;serif" w:hAnsi="Times New Roman;serif"/>
                <w:b/>
                <w:color w:val="000000"/>
                <w:sz w:val="20"/>
              </w:rPr>
              <w:t>Sterigenics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755,780</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697,853 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w:t>
            </w:r>
          </w:p>
        </w:tc>
        <w:tc>
          <w:tcPr>
            <w:tcW w:w="5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color w:val="000000"/>
                <w:sz w:val="20"/>
              </w:rPr>
            </w:pPr>
            <w:r>
              <w:rPr>
                <w:rFonts w:ascii="Times New Roman;serif" w:hAnsi="Times New Roman;serif"/>
                <w:b/>
                <w:color w:val="000000"/>
                <w:sz w:val="20"/>
              </w:rPr>
              <w:t>Nordion</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187,618</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173,355 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w:t>
            </w:r>
          </w:p>
        </w:tc>
        <w:tc>
          <w:tcPr>
            <w:tcW w:w="5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color w:val="000000"/>
                <w:sz w:val="20"/>
              </w:rPr>
            </w:pPr>
            <w:r>
              <w:rPr>
                <w:rFonts w:ascii="Times New Roman;serif" w:hAnsi="Times New Roman;serif"/>
                <w:b/>
                <w:color w:val="000000"/>
                <w:sz w:val="20"/>
              </w:rPr>
              <w:t>Nelson Labs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220,219</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229,233 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5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Segment Income</w:t>
            </w:r>
          </w:p>
        </w:tc>
        <w:tc>
          <w:tcPr>
            <w:tcW w:w="1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color w:val="000000"/>
                <w:sz w:val="20"/>
              </w:rPr>
            </w:pPr>
            <w:r>
              <w:rPr>
                <w:rFonts w:ascii="Times New Roman;serif" w:hAnsi="Times New Roman;serif"/>
                <w:b/>
                <w:color w:val="000000"/>
                <w:sz w:val="20"/>
              </w:rPr>
              <w:t>Sterigenics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412,893</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378,171 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w:t>
            </w:r>
          </w:p>
        </w:tc>
        <w:tc>
          <w:tcPr>
            <w:tcW w:w="5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color w:val="000000"/>
                <w:sz w:val="20"/>
              </w:rPr>
            </w:pPr>
            <w:r>
              <w:rPr>
                <w:rFonts w:ascii="Times New Roman;serif" w:hAnsi="Times New Roman;serif"/>
                <w:b/>
                <w:color w:val="000000"/>
                <w:sz w:val="20"/>
              </w:rPr>
              <w:t>Nordion</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107,578</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101,220 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c>
          <w:tcPr>
            <w:tcW w:w="5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color w:val="000000"/>
                <w:sz w:val="20"/>
              </w:rPr>
            </w:pPr>
            <w:r>
              <w:rPr>
                <w:rFonts w:ascii="Times New Roman;serif" w:hAnsi="Times New Roman;serif"/>
                <w:b/>
                <w:color w:val="000000"/>
                <w:sz w:val="20"/>
              </w:rPr>
              <w:t>Nelson Labs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73,330</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69,183 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5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5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Segment Income Margin</w:t>
            </w:r>
          </w:p>
        </w:tc>
        <w:tc>
          <w:tcPr>
            <w:tcW w:w="13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color w:val="000000"/>
                <w:sz w:val="20"/>
              </w:rPr>
            </w:pPr>
            <w:r>
              <w:rPr>
                <w:rFonts w:ascii="Times New Roman;serif" w:hAnsi="Times New Roman;serif"/>
                <w:b/>
                <w:color w:val="000000"/>
                <w:sz w:val="20"/>
              </w:rPr>
              <w:t>Sterigenics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54.6</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color w:val="000000"/>
                <w:sz w:val="20"/>
              </w:rPr>
            </w:pPr>
            <w:r>
              <w:rPr>
                <w:rFonts w:ascii="Times New Roman;serif" w:hAnsi="Times New Roman;serif"/>
                <w:b/>
                <w:color w:val="000000"/>
                <w:sz w:val="20"/>
              </w:rPr>
              <w:t>Nordion</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57.3</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color w:val="000000"/>
                <w:sz w:val="20"/>
              </w:rPr>
            </w:pPr>
            <w:r>
              <w:rPr>
                <w:rFonts w:ascii="Times New Roman;serif" w:hAnsi="Times New Roman;serif"/>
                <w:b/>
                <w:color w:val="000000"/>
                <w:sz w:val="20"/>
              </w:rPr>
              <w:t>Nelson Labs</w:t>
            </w:r>
          </w:p>
        </w:tc>
        <w:tc>
          <w:tcPr>
            <w:tcW w:w="1052"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33.3</w:t>
            </w:r>
            <w:r>
              <w:rPr>
                <w:color w:val="000000"/>
              </w:rPr>
              <w:t> </w:t>
            </w:r>
          </w:p>
        </w:tc>
        <w:tc>
          <w:tcPr>
            <w:tcW w:w="30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30.2 </w:t>
            </w:r>
          </w:p>
        </w:tc>
        <w:tc>
          <w:tcPr>
            <w:tcW w:w="27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Net Revenues </w:t>
      </w:r>
    </w:p>
    <w:p>
      <w:pPr>
        <w:pStyle w:val="TextBody"/>
        <w:bidi w:val="0"/>
        <w:spacing w:lineRule="auto" w:line="288" w:before="100" w:after="283"/>
        <w:jc w:val="left"/>
        <w:rPr/>
      </w:pPr>
      <w:r>
        <w:rPr>
          <w:rFonts w:ascii="Times New Roman;serif" w:hAnsi="Times New Roman;serif"/>
          <w:b w:val="false"/>
          <w:color w:val="000000"/>
          <w:sz w:val="20"/>
        </w:rPr>
        <w:t xml:space="preserve">Sterigenics net revenues were $755.8 million for the year ended December 31, 2025, an increase of $57.9 million, or 8.3%, as compared to the prior year. The </w:t>
      </w:r>
      <w:r>
        <w:rPr>
          <w:rFonts w:ascii="Times New Roman;serif" w:hAnsi="Times New Roman;serif"/>
          <w:b w:val="false"/>
          <w:color w:val="000000"/>
          <w:sz w:val="20"/>
          <w:shd w:fill="FFFFFF" w:val="clear"/>
        </w:rPr>
        <w:t>increase was attributable to a favorable impact from</w:t>
      </w:r>
      <w:r>
        <w:rPr>
          <w:color w:val="000000"/>
        </w:rPr>
        <w:t xml:space="preserve"> </w:t>
      </w:r>
      <w:r>
        <w:rPr>
          <w:rFonts w:ascii="Times New Roman;serif" w:hAnsi="Times New Roman;serif"/>
          <w:b w:val="false"/>
          <w:color w:val="000000"/>
          <w:sz w:val="20"/>
        </w:rPr>
        <w:t>pricing and volume/mix of 4.1% and 3.6%, respectively, and favorable changes in foreign currency exchange rates of 0.6%.</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Nordion net revenues were $187.6 million for the year ended December 31, 2025, an increase of $14.3 million, or 8.2%, as compared to the prior year. The increase was driven by growth from volume/mix and pricing of 6.2% and 2.9%, respectively, partially offset by unfavorable changes in foreign currency exchange rates of 0.9%.</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Nelson Labs net revenues were $220.2 million for the year ended December 31, 2025, a decrease of $9.0 million, or 3.9%, as compared to the prior year. Favorable pricing of 2.8%, growth in core lab testing services volume and mix of 2.5%, and a 1.1% benefit from changes in foreign currency exchange rates were offset by a 10.2% impact from the decline in expert advisory services and consulting revenue.</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Segment Income</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Sterigenics segment income was $412.9 million for the year ended December 31, 2025, an increase of $34.7 million, or 9.2%, as compared to the prior year. The increase in segment income was driven primarily by favorable customer pricing and increases in volume and mix, partially offset by inflation.</w:t>
      </w:r>
    </w:p>
    <w:p>
      <w:pPr>
        <w:pStyle w:val="TextBody"/>
        <w:bidi w:val="0"/>
        <w:spacing w:lineRule="auto" w:line="288" w:before="240" w:after="283"/>
        <w:jc w:val="left"/>
        <w:rPr/>
      </w:pPr>
      <w:r>
        <w:rPr>
          <w:color w:val="000000"/>
        </w:rPr>
        <w:t> </w:t>
      </w:r>
      <w:r>
        <w:rPr>
          <w:rFonts w:ascii="Times New Roman;serif" w:hAnsi="Times New Roman;serif"/>
          <w:b w:val="false"/>
          <w:color w:val="000000"/>
          <w:sz w:val="20"/>
        </w:rPr>
        <w:t>Nordion segment income was $107.6 million for the year ended December 31, 2025, an increase of $6.4 million, or 6.3%, as compared to the prior year. The increase in segment income was attributable to favorable customer pricing and increases in volume and mix. Segment income margin decreased as a result of product mix.</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Nelson Labs segment income was $73.3 million for the year ended December 31, 2025, an increase of 6.0%, as compared to the prior year. Segment income and segment income margin increased as a result of favorable pricing, volume and mix improvements and lab optimization.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 xml:space="preserve">LIQUIDITY AND CAPITAL RESOURCES </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Sources of Cash</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primary sources of liquidity for our business are cash flows provided by operating activities and borrowings under our credit facilities. As of December 31, 2025, we had $346.5 million of cash and cash equivalents, an increase of $67.6 million from the balance at December 31, 2024. The increase in cash and cash equivalents was attributable to $287.2 million of cash provided by operating activities and a $16.1 million increase due to favorable changes in foreign currency exchange rates, partially offset by $138.0 million of purchases of property, plant and equipment and $100.5 million of cash used in financing activities. Our foreign subsidiaries held cash of approximately $253.4 million at December 31, 2025 and $259.8 million at December 31, 2024. No material restrictions exist to accessing cash held by our foreign subsidiaries notwithstanding any potential tax consequences.</w:t>
      </w:r>
    </w:p>
    <w:p>
      <w:pPr>
        <w:pStyle w:val="TextBody"/>
        <w:bidi w:val="0"/>
        <w:spacing w:lineRule="auto" w:line="288" w:before="200" w:after="283"/>
        <w:jc w:val="left"/>
        <w:rPr/>
      </w:pPr>
      <w:r>
        <w:rPr>
          <w:rFonts w:ascii="Times New Roman;serif" w:hAnsi="Times New Roman;serif"/>
          <w:b w:val="false"/>
          <w:color w:val="000000"/>
          <w:sz w:val="20"/>
        </w:rPr>
        <w:t xml:space="preserve">Refer to “Debt Facilities” below within this Item, Note 9, “Long-Term Debt”, and Item 1A, </w:t>
      </w:r>
      <w:r>
        <w:rPr>
          <w:color w:val="000000"/>
        </w:rPr>
        <w:t>“</w:t>
      </w:r>
      <w:r>
        <w:rPr>
          <w:rFonts w:ascii="Times New Roman;serif" w:hAnsi="Times New Roman;serif"/>
          <w:b w:val="false"/>
          <w:color w:val="000000"/>
          <w:sz w:val="20"/>
        </w:rPr>
        <w:t>Risk Factors</w:t>
      </w:r>
      <w:r>
        <w:rPr>
          <w:color w:val="000000"/>
        </w:rPr>
        <w:t xml:space="preserve">” </w:t>
      </w:r>
      <w:r>
        <w:rPr>
          <w:rFonts w:ascii="Times New Roman;serif" w:hAnsi="Times New Roman;serif"/>
          <w:b w:val="false"/>
          <w:color w:val="000000"/>
          <w:sz w:val="20"/>
        </w:rPr>
        <w:t>- “Risks Related to Our Indebtedness and Liquidity” for additional information.</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Uses of Cash</w:t>
      </w:r>
    </w:p>
    <w:p>
      <w:pPr>
        <w:pStyle w:val="TextBody"/>
        <w:bidi w:val="0"/>
        <w:spacing w:lineRule="auto" w:line="288" w:before="200" w:after="283"/>
        <w:jc w:val="left"/>
        <w:rPr/>
      </w:pPr>
      <w:r>
        <w:rPr>
          <w:rFonts w:ascii="Times New Roman;serif" w:hAnsi="Times New Roman;serif"/>
          <w:b w:val="false"/>
          <w:color w:val="000000"/>
          <w:sz w:val="20"/>
        </w:rPr>
        <w:t>We expect that cash on hand, operating cash flows and amounts available under our credit facilities will provide sufficient working capital to operate our business, meet foreseeable liquidity requirements (inclusive of debt service on our long-term debt), make expected capital expenditures, including investments in fixed assets to build and/or expand existing facilities, and meet litigation costs that we expect to continue to incur for at least the next twelve months and the foreseeable future thereafter. We expect our primary long-term liquidity obligations and objectives beyond the next twelve months will be to service our debt, make capital expenditures, and fund suitable business acquisitions. As of December 31, 2025, there were no outstanding borrowings on the Revolving Credit Facility. We expect any excess cash provided by operations will be allocated to fund capital expenditures, potential acquisitions, or for other general corporate purposes. Our ability to meet future working capital, capital expenditures and debt service requirements will depend on our future financial performance, which will be affected by a range of macroeconomic, competitive and business factors, including interest rate changes and changes in our industry, many of which are outside of our control. As of December 31, 2025, our interest rate derivatives limit the cash flow exposure of our variable rate borrowings under the Term Loans. Refer to Note 20, “Financial Instruments and Financial Risk”, “</w:t>
      </w:r>
      <w:r>
        <w:rPr>
          <w:rFonts w:ascii="Times New Roman;serif" w:hAnsi="Times New Roman;serif"/>
          <w:b w:val="false"/>
          <w:i/>
          <w:color w:val="000000"/>
          <w:sz w:val="20"/>
        </w:rPr>
        <w:t>Derivative Instruments</w:t>
      </w:r>
      <w:r>
        <w:rPr>
          <w:color w:val="000000"/>
        </w:rPr>
        <w:t xml:space="preserve">” </w:t>
      </w:r>
      <w:r>
        <w:rPr>
          <w:rFonts w:ascii="Times New Roman;serif" w:hAnsi="Times New Roman;serif"/>
          <w:b w:val="false"/>
          <w:color w:val="000000"/>
          <w:sz w:val="20"/>
        </w:rPr>
        <w:t xml:space="preserve">for additional information regarding the interest rate limits used to manage economic risks associated with our variable rate borrowings. Refer to Item 7A., </w:t>
      </w:r>
      <w:r>
        <w:rPr>
          <w:color w:val="000000"/>
        </w:rPr>
        <w:t>“</w:t>
      </w:r>
      <w:r>
        <w:rPr>
          <w:rFonts w:ascii="Times New Roman;serif" w:hAnsi="Times New Roman;serif"/>
          <w:b w:val="false"/>
          <w:color w:val="000000"/>
          <w:sz w:val="20"/>
        </w:rPr>
        <w:t>Quantitative and Qualitative Disclosures About Market Risk</w:t>
      </w:r>
      <w:r>
        <w:rPr>
          <w:color w:val="000000"/>
        </w:rPr>
        <w:t xml:space="preserve">” </w:t>
      </w:r>
      <w:r>
        <w:rPr>
          <w:rFonts w:ascii="Times New Roman;serif" w:hAnsi="Times New Roman;serif"/>
          <w:b w:val="false"/>
          <w:color w:val="000000"/>
          <w:sz w:val="20"/>
        </w:rPr>
        <w:t>for additional information about changes in interest rate risk.</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Capital Expenditures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Our capital expenditure program is a component of our long-term strategy. This program includes, among other things, investments in new and existing facilities, business expansion projects, Co-60 used by Sterigenics at its gamma irradiation facilities, cobalt development projects and IT enhancements. During the year ended December 31, 2025, our capital expenditures amounted to $138.0 million, compared to $179.1 million in the year ended December 31, 2024. Our capital expenditures for the year ended December 31, 2025 included approximately $24.4 million related to environmental facility enhancements.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In 2026, we expect to continue to invest in facility expansions, ongoing routine maintenance for existing facilities, and acquisition of Co-60 for use by our Sterigenics segment in its gamma irradiation facilities. In addition, we expect to invest in special projects related to development of new Co-60 supply sources and facility enhancements at our EO sterilization facilities. For 2026, it is estimated that approximately $51 million of capital expenditures will relate to environmental facility enhancements.</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 xml:space="preserve">Debt Facilities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Under the debt agreements summarized below, at December 31, 2025 we and SHH, our wholly owned subsidiary, had debt payment obligations under (a) a term loan in the amount of $1,419.5 million, (b) a revolving credit facility, which supported operationally-related letters of credit but was otherwise undrawn, and which provides to us capacity up to $600.0 million for future potential borrowings, and (c) $750.0 million of senior secured notes. Our debt agreements also include additional covenants, conditions and rights to request additional debt, as summarized below.</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Senior Secured Credit Facilities and Indenture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left"/>
        <w:rPr/>
      </w:pPr>
      <w:r>
        <w:rPr>
          <w:rFonts w:ascii="Times New Roman;serif" w:hAnsi="Times New Roman;serif"/>
          <w:b w:val="false"/>
          <w:color w:val="000000"/>
          <w:sz w:val="20"/>
        </w:rPr>
        <w:t>On December 13, 2019, SHH entered into senior secured first lien credit facilities (the “Senior Secured Credit Facilities”), consisting of both a prepayable senior secured first lien term loan (the “Term Loans”) and a senior secured first lien revolving credit facility (the “Revolving Credit Facility”) pursuant to a first lien credit agreement (as amended through Amendment No. 6 (as defined below), the “Credit Agreement”).</w:t>
      </w:r>
      <w:r>
        <w:rPr>
          <w:color w:val="000000"/>
          <w:shd w:fill="FFFFFF" w:val="clear"/>
        </w:rPr>
        <w:t xml:space="preserve"> </w:t>
      </w:r>
      <w:r>
        <w:rPr>
          <w:rFonts w:ascii="Times New Roman;serif" w:hAnsi="Times New Roman;serif"/>
          <w:b w:val="false"/>
          <w:color w:val="000000"/>
          <w:sz w:val="20"/>
          <w:shd w:fill="FFFFFF" w:val="clear"/>
        </w:rPr>
        <w:t>The Senior Secured Credit Facilities also provide SHH the right at any time and under certain conditions to request incremental term loans or incremental revolving credit commitments based on a formula defined in the Senior Secured Credit Facilities.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September 17, 2025, the Company and SHH entered into Amendment No. 6 (“Amendment No. 6”) to the Credit Agreement. Among other changes, Amendment No. 6 provides for the refinancing lenders to provide term loans (the “Repriced Term Loans”) to SHH in an aggregate principal amount of $1,419.5 million, which reflects the balance after the Company’s application of $75.0 million of available cash to repay outstanding borrowings under its term loan facility. Amendment No. 6 also reduced the interest rate spread by 0.50% across term loans under the facility, such that the Repriced Term Loans have an applicable interest rate margin equal to the Adjusted Term SOFR (as defined in the Credit Agreement) plus 2.50%, with a 0.00% floor (with optionality for the Company to elect Alternate Base Rate (“ABR”) plus 1.50% or Adjusted Daily Simple SOFR plus 2.50% (each as defined in the Credit Agreement)). This pricing reflects both the 0.50% reduction implemented through Amendment No. 6 and a 0.25% contractual pricing step-down that was triggered in August 2025. The Repriced Term Loans are also subject to a “soft call” premium of 1.00% for certain repricing transactions with respect to the Repriced Term Loans that occur within the six-month period after the effective date of Amendment No. 6. The Repriced Term Loans amortize at a rate of 1.00% per annum and mature on May 30, 2031.</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April 30, 2025, the Company and SHH entered into Amendment No. 5 (“Amendment No. 5”) to the Credit Agreement. Among other changes, Amendment No. 5 provides (i) for an increase in the commitments under the existing Revolving Credit Facility in an aggregate principal amount of $176.2 million (ii) that certain lenders providing revolving credit commitments shall also provide additional commitments for the issuance of letters of credit under the Revolving Credit Facility in an aggregate principal amount of $186.3 million and (iii) for the extension of the maturity date of the Revolving Credit Facility to April 30, 2030. Amendment No. 5 does not give effect to any other material changes to the terms and conditions of the Credit Agreement, including with respect to the representations and warranties, events of default and the affirmative or negative covenants.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Company and SHH had previously entered into Amendment No. 4 to the Credit Agreement on May 30, 2024, respectively. See Note 9, “Long-Term Debt” to the Financial Statements for a description of this amendment.</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On May 30, 2024, SHH, the Company, certain subsidiaries of the Company, and Wilmington Trust, National Association, as trustee, paying agent, registrar, transfer agent and notes collateral agent, entered into an Indenture (the “Indenture”) governing SHH’s $750.0 million aggregate principal amount of 7.375% senior secured notes due 2031 (the “Secured Notes”) issued in May 2024.</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Senior Secured Credit Facilities and the Indenture contain certain covenants and events of default. Additionally, all of SHH’s obligations under the Senior Secured Credit Facilities and the Indenture are unconditionally guaranteed by the Company and certain domestic restricted subsidiaries. For additional information about our Senior Secured Credit Facilities, the Indenture and the Secured Notes, including the covenants and events of default, refer to Note 8, “Long-Term Debt,” to our Financial Statements.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Outstanding letters of credit are collateralized by encumbrances against the Revolving Credit Facility and the collateral pledged thereunder, or by cash placed on deposit with the issuing bank. As of December 31, 2025, the Company had $8.2 million of letters of credit issued against the Revolving Credit Facility, resulting in total availability under the Revolving Credit Facility of $591.8 million.</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Term Loan Interest Rate Risk Management</w:t>
      </w:r>
    </w:p>
    <w:p>
      <w:pPr>
        <w:pStyle w:val="TextBody"/>
        <w:bidi w:val="0"/>
        <w:spacing w:lineRule="auto" w:line="288" w:before="200" w:after="283"/>
        <w:jc w:val="left"/>
        <w:rPr/>
      </w:pPr>
      <w:r>
        <w:rPr>
          <w:rFonts w:ascii="Times New Roman;serif" w:hAnsi="Times New Roman;serif"/>
          <w:b w:val="false"/>
          <w:color w:val="000000"/>
          <w:sz w:val="20"/>
        </w:rPr>
        <w:t xml:space="preserve">The Company utilizes interest rate derivatives to reduce the variability of cash flows in the interest payments associated with our variable rate debt due to changes in SOFR. For additional information on the derivative instruments described above, refer to Note 20, “Financial Instruments and Financial Risk”, </w:t>
      </w:r>
      <w:r>
        <w:rPr>
          <w:color w:val="000000"/>
        </w:rPr>
        <w:t>“</w:t>
      </w:r>
      <w:r>
        <w:rPr>
          <w:rFonts w:ascii="Times New Roman;serif" w:hAnsi="Times New Roman;serif"/>
          <w:b w:val="false"/>
          <w:i/>
          <w:color w:val="000000"/>
          <w:sz w:val="20"/>
        </w:rPr>
        <w:t>Derivative Instruments.”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Cash Flow Information</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The following section summarizes cash flow information for the years ended December 31, 2025 and 2024. Cash flow information for the years ended December 31, 2024 and 2023 are presented within our Annual Report on Form 10-K for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year ended December 31, 2024 under Item 7, “Management’s Discussion and Analysis of Financial Condition and Results of Operations - Liquidity and Capital Resources.”</w:t>
      </w:r>
    </w:p>
    <w:p>
      <w:pPr>
        <w:pStyle w:val="TextBody"/>
        <w:bidi w:val="0"/>
        <w:spacing w:lineRule="auto" w:line="288" w:before="240" w:after="283"/>
        <w:jc w:val="left"/>
        <w:rPr/>
      </w:pPr>
      <w:r>
        <w:rPr>
          <w:rFonts w:ascii="Times New Roman;serif" w:hAnsi="Times New Roman;serif"/>
          <w:b/>
          <w:i/>
          <w:color w:val="000000"/>
          <w:sz w:val="20"/>
        </w:rPr>
        <w:t xml:space="preserve">Year Ended December 31, 2025 compared to the Year Ended December 31, 2024 </w:t>
      </w:r>
      <w:r>
        <w:rPr>
          <w:color w:val="000000"/>
        </w:rPr>
        <w:t> </w:t>
      </w:r>
    </w:p>
    <w:tbl>
      <w:tblPr>
        <w:tblW w:w="10205" w:type="dxa"/>
        <w:jc w:val="left"/>
        <w:tblInd w:w="0" w:type="dxa"/>
        <w:tblLayout w:type="fixed"/>
        <w:tblCellMar>
          <w:top w:w="28" w:type="dxa"/>
          <w:left w:w="28" w:type="dxa"/>
          <w:bottom w:w="28" w:type="dxa"/>
          <w:right w:w="28" w:type="dxa"/>
        </w:tblCellMar>
      </w:tblPr>
      <w:tblGrid>
        <w:gridCol w:w="2734"/>
        <w:gridCol w:w="2391"/>
        <w:gridCol w:w="2399"/>
        <w:gridCol w:w="211"/>
        <w:gridCol w:w="841"/>
        <w:gridCol w:w="109"/>
        <w:gridCol w:w="109"/>
        <w:gridCol w:w="109"/>
        <w:gridCol w:w="109"/>
        <w:gridCol w:w="211"/>
        <w:gridCol w:w="826"/>
        <w:gridCol w:w="156"/>
      </w:tblGrid>
      <w:tr>
        <w:trPr/>
        <w:tc>
          <w:tcPr>
            <w:tcW w:w="2734" w:type="dxa"/>
            <w:tcBorders/>
            <w:vAlign w:val="center"/>
          </w:tcPr>
          <w:p>
            <w:pPr>
              <w:pStyle w:val="TableContents"/>
              <w:bidi w:val="0"/>
              <w:spacing w:before="0" w:after="283"/>
              <w:jc w:val="left"/>
              <w:rPr>
                <w:sz w:val="4"/>
                <w:szCs w:val="4"/>
              </w:rPr>
            </w:pPr>
            <w:r>
              <w:rPr>
                <w:sz w:val="4"/>
                <w:szCs w:val="4"/>
              </w:rPr>
            </w:r>
          </w:p>
        </w:tc>
        <w:tc>
          <w:tcPr>
            <w:tcW w:w="2391" w:type="dxa"/>
            <w:tcBorders/>
            <w:vAlign w:val="center"/>
          </w:tcPr>
          <w:p>
            <w:pPr>
              <w:pStyle w:val="TableContents"/>
              <w:bidi w:val="0"/>
              <w:spacing w:before="0" w:after="283"/>
              <w:jc w:val="left"/>
              <w:rPr>
                <w:sz w:val="4"/>
                <w:szCs w:val="4"/>
              </w:rPr>
            </w:pPr>
            <w:r>
              <w:rPr>
                <w:sz w:val="4"/>
                <w:szCs w:val="4"/>
              </w:rPr>
            </w:r>
          </w:p>
        </w:tc>
        <w:tc>
          <w:tcPr>
            <w:tcW w:w="23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2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(thousands of U.S. dollars)</w:t>
            </w:r>
          </w:p>
        </w:tc>
        <w:tc>
          <w:tcPr>
            <w:tcW w:w="11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2024</w:t>
            </w:r>
          </w:p>
        </w:tc>
      </w:tr>
      <w:tr>
        <w:trPr/>
        <w:tc>
          <w:tcPr>
            <w:tcW w:w="7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w:t>
            </w:r>
          </w:p>
        </w:tc>
        <w:tc>
          <w:tcPr>
            <w:tcW w:w="1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287,195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224,164 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Investing activities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(135,144)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(178,996)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activities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(100,534)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(50,564)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foreign currency exchange rate changes on cash and cash equivalents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16,074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(17,393)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increase (decrease) in cash and cash equivalents, including restricted cash, during the period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67,591</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(22,789)</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Operating activities </w:t>
      </w:r>
    </w:p>
    <w:p>
      <w:pPr>
        <w:pStyle w:val="TextBody"/>
        <w:bidi w:val="0"/>
        <w:spacing w:lineRule="auto" w:line="288" w:before="100" w:after="283"/>
        <w:jc w:val="left"/>
        <w:rPr/>
      </w:pPr>
      <w:r>
        <w:rPr>
          <w:rFonts w:ascii="Times New Roman;serif" w:hAnsi="Times New Roman;serif"/>
          <w:b w:val="false"/>
          <w:color w:val="000000"/>
          <w:sz w:val="20"/>
        </w:rPr>
        <w:t xml:space="preserve">Net cash provided by operating activities increased $63.0 million to net cash provided of $287.2 million for the year ended December 31, 2025 as compared to $224.2 million for the prior year. The increase in net cash provided by operating activities in the </w:t>
      </w:r>
      <w:r>
        <w:rPr>
          <w:rFonts w:ascii="Times New Roman;serif" w:hAnsi="Times New Roman;serif"/>
          <w:b w:val="false"/>
          <w:color w:val="000000"/>
          <w:sz w:val="20"/>
          <w:shd w:fill="FFFFFF" w:val="clear"/>
        </w:rPr>
        <w:t>year ended December 31, 2025</w:t>
      </w:r>
      <w:r>
        <w:rPr>
          <w:color w:val="000000"/>
        </w:rPr>
        <w:t xml:space="preserve"> </w:t>
      </w:r>
      <w:r>
        <w:rPr>
          <w:rFonts w:ascii="Times New Roman;serif" w:hAnsi="Times New Roman;serif"/>
          <w:b w:val="false"/>
          <w:color w:val="000000"/>
          <w:sz w:val="20"/>
        </w:rPr>
        <w:t>compared to the prior year was due mainly to a $43.2 million increase in gross profit, a $15.9 million decrease in cash paid for interest and a $5.0 million decrease in cash paid for income taxes.</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Investing activities </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cash used in investing activities decreased $43.9 million to net cash used of $135.1 million in the year ended December 31, 2025 as compared to $179.0 million for the prior year. The variance was mainly driven by a decrease in capital expenditures of $41.1 million in the year ended December 31, 2025 compared to the prior year. </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Financing activities </w:t>
      </w:r>
    </w:p>
    <w:p>
      <w:pPr>
        <w:pStyle w:val="TextBody"/>
        <w:bidi w:val="0"/>
        <w:spacing w:lineRule="auto" w:line="288" w:before="100" w:after="283"/>
        <w:jc w:val="left"/>
        <w:rPr/>
      </w:pPr>
      <w:r>
        <w:rPr>
          <w:rFonts w:ascii="Times New Roman;serif" w:hAnsi="Times New Roman;serif"/>
          <w:b w:val="false"/>
          <w:color w:val="000000"/>
          <w:sz w:val="20"/>
          <w:shd w:fill="FFFFFF" w:val="clear"/>
        </w:rPr>
        <w:t xml:space="preserve">For the year ended December 31, 2025, net cash used in financing activities increased </w:t>
      </w:r>
      <w:r>
        <w:rPr>
          <w:rFonts w:ascii="Times New Roman;serif" w:hAnsi="Times New Roman;serif"/>
          <w:b w:val="false"/>
          <w:color w:val="000000"/>
          <w:sz w:val="20"/>
        </w:rPr>
        <w:t>$50.0 million</w:t>
      </w:r>
      <w:r>
        <w:rPr>
          <w:color w:val="000000"/>
        </w:rPr>
        <w:t xml:space="preserve"> </w:t>
      </w:r>
      <w:r>
        <w:rPr>
          <w:rFonts w:ascii="Times New Roman;serif" w:hAnsi="Times New Roman;serif"/>
          <w:b w:val="false"/>
          <w:color w:val="000000"/>
          <w:sz w:val="20"/>
          <w:shd w:fill="FFFFFF" w:val="clear"/>
        </w:rPr>
        <w:t>to net cash used of $100.5 million as compared to $50.6 million for the year ended December 31, 2024. The difference was mainly attributable to an $81.1 million increase in debt principal repayments in the year ended December 31, 2025 as compared to the prior year, partially offset by $27.7 million decrease in cash paid for debt issuance costs and debt discounts in the year ended December 31, 2025 as compared to the prior year.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CONTRACTUAL OBLIGATIONS AND COMMERCIAL COMMITMENTS</w:t>
      </w:r>
    </w:p>
    <w:p>
      <w:pPr>
        <w:pStyle w:val="TextBody"/>
        <w:bidi w:val="0"/>
        <w:spacing w:lineRule="auto" w:line="288" w:before="200" w:after="283"/>
        <w:jc w:val="left"/>
        <w:rPr/>
      </w:pPr>
      <w:r>
        <w:rPr>
          <w:rFonts w:ascii="Times New Roman;serif" w:hAnsi="Times New Roman;serif"/>
          <w:b w:val="false"/>
          <w:color w:val="000000"/>
          <w:sz w:val="20"/>
        </w:rPr>
        <w:t xml:space="preserve">The following table describes our significant contractual and other cash obligations as of December 31, 2025: </w:t>
      </w:r>
      <w:r>
        <w:rPr>
          <w:color w:val="000000"/>
        </w:rPr>
        <w:t> </w:t>
      </w:r>
    </w:p>
    <w:tbl>
      <w:tblPr>
        <w:tblW w:w="10205" w:type="dxa"/>
        <w:jc w:val="left"/>
        <w:tblInd w:w="0" w:type="dxa"/>
        <w:tblLayout w:type="fixed"/>
        <w:tblCellMar>
          <w:top w:w="28" w:type="dxa"/>
          <w:left w:w="28" w:type="dxa"/>
          <w:bottom w:w="28" w:type="dxa"/>
          <w:right w:w="28" w:type="dxa"/>
        </w:tblCellMar>
      </w:tblPr>
      <w:tblGrid>
        <w:gridCol w:w="1002"/>
        <w:gridCol w:w="871"/>
        <w:gridCol w:w="873"/>
        <w:gridCol w:w="211"/>
        <w:gridCol w:w="991"/>
        <w:gridCol w:w="109"/>
        <w:gridCol w:w="109"/>
        <w:gridCol w:w="109"/>
        <w:gridCol w:w="109"/>
        <w:gridCol w:w="211"/>
        <w:gridCol w:w="841"/>
        <w:gridCol w:w="109"/>
        <w:gridCol w:w="109"/>
        <w:gridCol w:w="109"/>
        <w:gridCol w:w="109"/>
        <w:gridCol w:w="211"/>
        <w:gridCol w:w="841"/>
        <w:gridCol w:w="109"/>
        <w:gridCol w:w="109"/>
        <w:gridCol w:w="109"/>
        <w:gridCol w:w="109"/>
        <w:gridCol w:w="211"/>
        <w:gridCol w:w="841"/>
        <w:gridCol w:w="109"/>
        <w:gridCol w:w="109"/>
        <w:gridCol w:w="109"/>
        <w:gridCol w:w="109"/>
        <w:gridCol w:w="211"/>
        <w:gridCol w:w="991"/>
        <w:gridCol w:w="155"/>
      </w:tblGrid>
      <w:tr>
        <w:trPr/>
        <w:tc>
          <w:tcPr>
            <w:tcW w:w="1002"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9" w:type="dxa"/>
            <w:gridSpan w:val="27"/>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6"/>
              </w:rPr>
              <w:t xml:space="preserve">Payments due by period </w:t>
            </w:r>
          </w:p>
        </w:tc>
      </w:tr>
      <w:tr>
        <w:trPr/>
        <w:tc>
          <w:tcPr>
            <w:tcW w:w="274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(thousands of U.S. dollars)</w:t>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Total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Less than</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1 Year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2-3 Years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4-5 Years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More than 5</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Years </w:t>
            </w:r>
          </w:p>
        </w:tc>
      </w:tr>
      <w:tr>
        <w:trPr/>
        <w:tc>
          <w:tcPr>
            <w:tcW w:w="2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Long-term debt </w:t>
            </w:r>
            <w:r>
              <w:rPr>
                <w:rFonts w:ascii="Times New Roman;serif" w:hAnsi="Times New Roman;serif"/>
                <w:b w:val="false"/>
                <w:color w:val="000000"/>
                <w:sz w:val="13"/>
              </w:rPr>
              <w:t>(a)</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2,942,508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157,015 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302,589 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307,248 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2,175,656 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obligations:</w:t>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Finance</w:t>
            </w:r>
            <w:r>
              <w:rPr>
                <w:color w:val="000000"/>
              </w:rPr>
              <w:t xml:space="preserve"> </w:t>
            </w:r>
            <w:r>
              <w:rPr>
                <w:rFonts w:ascii="Times New Roman;serif" w:hAnsi="Times New Roman;serif"/>
                <w:b w:val="false"/>
                <w:color w:val="000000"/>
                <w:sz w:val="13"/>
              </w:rPr>
              <w:t>(b)</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158,298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108,811 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Operating </w:t>
            </w:r>
            <w:r>
              <w:rPr>
                <w:rFonts w:ascii="Times New Roman;serif" w:hAnsi="Times New Roman;serif"/>
                <w:b w:val="false"/>
                <w:color w:val="000000"/>
                <w:sz w:val="13"/>
              </w:rPr>
              <w:t>(c)</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51,634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22,069 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Supply and service obligations</w:t>
            </w:r>
            <w:r>
              <w:rPr>
                <w:color w:val="000000"/>
              </w:rPr>
              <w:t xml:space="preserve"> </w:t>
            </w:r>
            <w:r>
              <w:rPr>
                <w:rFonts w:ascii="Times New Roman;serif" w:hAnsi="Times New Roman;serif"/>
                <w:b w:val="false"/>
                <w:color w:val="000000"/>
                <w:sz w:val="13"/>
              </w:rPr>
              <w:t>(d)</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2,500,034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118,524 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157,839 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163,319 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2,060,352 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6"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color w:val="000000"/>
                <w:sz w:val="20"/>
              </w:rPr>
            </w:pPr>
            <w:r>
              <w:rPr>
                <w:rFonts w:ascii="Times New Roman;serif" w:hAnsi="Times New Roman;serif"/>
                <w:b/>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5,652,474</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293,362</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493,606</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498,618</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4,366,888</w:t>
            </w:r>
            <w:r>
              <w:rPr>
                <w:color w:val="000000"/>
              </w:rPr>
              <w:t>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 xml:space="preserve">(a)Represents principal and interest payments on the Senior Secured Credit Facilities and Secured Notes. We have calculated the interest payments on the Senior Secured Credit Facilities using an assumed range of 3.10% to 3.84% based on anticipated forward movements in SOFR and the fixed rate of 7.375% for the Secured Notes. In addition, interest payments include the impact of existing interest rate swaps described in Note 20, “Financial Instruments and Financial Risk” in the notes to consolidated financial statements. </w:t>
      </w:r>
    </w:p>
    <w:p>
      <w:pPr>
        <w:pStyle w:val="TextBody"/>
        <w:bidi w:val="0"/>
        <w:spacing w:lineRule="auto" w:line="288" w:before="0" w:after="0"/>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 xml:space="preserve">(b)Consists of payments under our finance leases for various facilities and equipment. </w:t>
      </w:r>
    </w:p>
    <w:p>
      <w:pPr>
        <w:pStyle w:val="TextBody"/>
        <w:bidi w:val="0"/>
        <w:spacing w:lineRule="auto" w:line="288" w:before="0" w:after="0"/>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 xml:space="preserve">(c)Represents minimum lease payments under our operating leases for several of our facilities and other property and equipment.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(d)Consists of our best estimate of our obligations under various supply and service agreements, primarily Co-60 and capacity expansions, that are enforceable and legally binding on us. This also includes our best estimate of our obligations to purchase EO gas under commitments that are enforceable and legally binding on us. We have excluded contracts to purchase energy and other supplies, which generally have terms of one to two years or less. Our contract to purchase EO gas in the U.S. requires us to purchase all our requirements from our supplier, and our contracts to purchase EO gas outside the U.S. generally require that we purchase a specified percentage of our requirements for our operations in the countries covered by those contracts. Although our EO gas contracts generally do not contain fixed minimum purchase volumes, we have calculated the amounts set forth in the table above based on the percentage of our requirements specified in the contracts and our budgeted purchase volumes for those periods.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At December 31, 2025 and 2024, we had $54.5 million and $58.5 million, respectively, of standby letters of credit, surety bonds and other bank guarantees outstanding, primarily in favor of local and state licensing authorities for future decommissioning costs, and to support the unfunded portion of our pension obligation. We are obligated to provide financial assurance to local and state licensing authorities for possible future decommissioning costs associated with the various facilities that hold Co-60. At December 31, 2025 and 2024, $50.3 million and $49.1 million, respectively, of the standby letters of credit and surety bonds referenced above were outstanding in favor of the various local and state licensing authorities in the event we defaulted on our decommissioning obligation.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CRITICAL ACCOUNTING POLICIES AND ESTIMATES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subsections describe our most critical accounting policies, estimates, and assumptions. Our discussion of critical accounting policies and estimates is intended to supplement, not duplicate, our summary of significant accounting policies so that readers will have greater insight into the uncertainties involved in these areas. Our accounting policies are more fully described in Note 1, “Significant Accounting Policies” to our consolidated financial statements.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preparation of consolidated financial statements and related disclosures in conformity with GAAP requires management to make judgments, estimates and assumptions at a specific point in time and in certain circumstances that affect amounts reported in the accompanying consolidated financial statements. In preparing these consolidated financial statements, management has made its best estimates and judgments of certain amounts, giving due consideration to materiality. The application of accounting policies involves the exercise of judgment and use of assumptions as to future uncertainties and, as a result, actual results could differ from these estimates. </w:t>
      </w:r>
    </w:p>
    <w:p>
      <w:pPr>
        <w:pStyle w:val="TextBody"/>
        <w:bidi w:val="0"/>
        <w:spacing w:lineRule="auto" w:line="288" w:before="200" w:after="283"/>
        <w:jc w:val="left"/>
        <w:rPr/>
      </w:pPr>
      <w:r>
        <w:rPr>
          <w:rFonts w:ascii="Times New Roman;serif" w:hAnsi="Times New Roman;serif"/>
          <w:b w:val="false"/>
          <w:i/>
          <w:color w:val="000000"/>
          <w:sz w:val="20"/>
        </w:rPr>
        <w:t>Revenue Recognition</w:t>
      </w:r>
      <w:r>
        <w:rPr>
          <w:rFonts w:ascii="Times New Roman;serif" w:hAnsi="Times New Roman;serif"/>
          <w:b w:val="false"/>
          <w:color w:val="000000"/>
          <w:sz w:val="20"/>
        </w:rPr>
        <w:t xml:space="preserve">. Revenue recognition is deemed to be critical because it significantly influences profit metrics and, in certain instances as described below, involves complex judgments under GAAP. The majority of our sales agreements contain performance obligations satisfied at a point in time when control of promised goods or services have transferred to our customers. Revenues recognized over time are generally accounted for using an input measure to determine progress completed as of the end of the period.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Refunds, returns, warranties and other related obligations are not material to any of our business units and we do not incur material incremental costs to secure customer contracts.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Sterigenics segment provides outsourced terminal sterilization and irradiation services for the medical device, pharmaceutical, food safety and advanced applications markets. We typically have multi-year service contracts with our significant customers, and these sales contracts are primarily based on customers’ purchase orders. Given the relatively short turnaround times, performance obligations are generally satisfied at a point-in-time upon the completion of sterilization or irradiation processing and the approval of our quality assurance process, at which time the service is complete.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Nordion segment is a provider of Co-60 and gamma irradiation systems, which are key components to the gamma sterilization process. Revenue from the sale of Co-60 radiation sources is recognized at a point-in-time upon satisfaction of our performance obligations for delivery/installation and disposal of existing sources. Revenue from the sale of gamma irradiation systems in our Nordion segment is recognized over time using an input measure of costs incurred and is immaterial to the overall business.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Nelson Labs segment provides outsourced microbiological and analytical chemistry testing and advisory services for the medical device and pharmaceutical industries. We provide our customers mission-critical lab testing services, which assess the product quality, effectiveness, patient safety and end-to-end sterility of products. These services are necessary for our customers’ regulatory approvals, product releases and ongoing product performance evaluations. Nelson Labs services are generally provided on a fee-for-service or project basis, and we recognize revenues over time generally using an input measure of time incurred to determine progress completed at the end of the period. Revenue recognized over time in excess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amount billed to the customer is recorded as a customer contract asset. When we receive consideration from a customer prior to transferring goods or services under the terms of a sales contract, we record deferred revenue, which represents a contract liability. We utilize our customer relationship management system to assess time incurred and the extent of project completion at the end of the period.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do not capitalize sales commissions because substantially all of our sales commission programs have an amortization period of one year or less. Furthermore, costs to fulfill a contract are not material.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Provisions for discounts, rebates to customers, and other adjustments are provided for as reductions in net revenues in the period the related sale was recorded. Shipping and handling charges billed to customers are included in net revenues, and the related shipping and handling costs are included in cost of net revenues on the Consolidated Statements of Operations and Comprehensive Income (Loss). Taxes assessed by a governmental authority that are both imposed on and concurrent with a specific revenue-producing transaction, that are collected by us from a customer, are excluded from net revenue.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Payment terms vary by the type and location of the customer and the products or services offered. Generally, the time between when revenue is recognized and when payment is due is not significant. We do not evaluate whether the selling price contains a financing component for contracts that have a duration of less than one year. </w:t>
      </w:r>
    </w:p>
    <w:p>
      <w:pPr>
        <w:pStyle w:val="TextBody"/>
        <w:bidi w:val="0"/>
        <w:spacing w:lineRule="auto" w:line="288" w:before="200" w:after="283"/>
        <w:jc w:val="left"/>
        <w:rPr/>
      </w:pPr>
      <w:r>
        <w:rPr>
          <w:rFonts w:ascii="Times New Roman;serif" w:hAnsi="Times New Roman;serif"/>
          <w:b w:val="false"/>
          <w:i/>
          <w:color w:val="000000"/>
          <w:sz w:val="20"/>
        </w:rPr>
        <w:t>Goodwill</w:t>
      </w:r>
      <w:r>
        <w:rPr>
          <w:rFonts w:ascii="Times New Roman;serif" w:hAnsi="Times New Roman;serif"/>
          <w:b w:val="false"/>
          <w:color w:val="000000"/>
          <w:sz w:val="20"/>
        </w:rPr>
        <w:t xml:space="preserve">. We consider the impairment analysis of goodwill to be critical because of its quantitative significance to the Company and our segments. The impairment analysis also requires the use of forward-looking assumptions and estimates. Assets and liabilities of a business acquired are accounted for at their estimated fair values as of the acquisition date. Any excess of the cost of the acquisition over the fair value of the net tangible and intangible assets acquired is recorded as goodwill. We generally supplement management expertise with valuation specialists in performing appraisals to assist us in determining the fair values of assets acquired and liabilities assumed. These valuations require us to make estimates and assumptions. We do not amortize goodwill, but we evaluate it annually for impairment. Therefore, the allocation of the purchase price to goodwill has a significant impact on future operating results.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Goodwill is tested for impairment annually as of October 1. If circumstances change during interim periods between annual tests that indicate that the carrying amount of goodwill may not be recoverable, the Company tests the asset at an interim date for impairment. Factors which would necessitate an interim impairment assessment include prolonged negative industry or economic trends and significant underperformance relative to historical or projected future operating results.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At December 31, 2025, goodwill totaled $1,103.2 million, or 33.8% of our total assets.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Goodwill is assigned to our segments at December 31, 2025 as follows:</w:t>
      </w:r>
    </w:p>
    <w:tbl>
      <w:tblPr>
        <w:tblW w:w="8595" w:type="dxa"/>
        <w:jc w:val="left"/>
        <w:tblInd w:w="0" w:type="dxa"/>
        <w:tblLayout w:type="fixed"/>
        <w:tblCellMar>
          <w:top w:w="28" w:type="dxa"/>
          <w:left w:w="28" w:type="dxa"/>
          <w:bottom w:w="28" w:type="dxa"/>
          <w:right w:w="28" w:type="dxa"/>
        </w:tblCellMar>
      </w:tblPr>
      <w:tblGrid>
        <w:gridCol w:w="1006"/>
        <w:gridCol w:w="883"/>
        <w:gridCol w:w="886"/>
        <w:gridCol w:w="211"/>
        <w:gridCol w:w="841"/>
        <w:gridCol w:w="109"/>
        <w:gridCol w:w="109"/>
        <w:gridCol w:w="109"/>
        <w:gridCol w:w="109"/>
        <w:gridCol w:w="211"/>
        <w:gridCol w:w="841"/>
        <w:gridCol w:w="109"/>
        <w:gridCol w:w="109"/>
        <w:gridCol w:w="109"/>
        <w:gridCol w:w="109"/>
        <w:gridCol w:w="211"/>
        <w:gridCol w:w="841"/>
        <w:gridCol w:w="109"/>
        <w:gridCol w:w="109"/>
        <w:gridCol w:w="109"/>
        <w:gridCol w:w="109"/>
        <w:gridCol w:w="211"/>
        <w:gridCol w:w="991"/>
        <w:gridCol w:w="154"/>
      </w:tblGrid>
      <w:tr>
        <w:trPr/>
        <w:tc>
          <w:tcPr>
            <w:tcW w:w="1006"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(thousands of U.S. dollars)</w:t>
            </w:r>
          </w:p>
        </w:tc>
        <w:tc>
          <w:tcPr>
            <w:tcW w:w="116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Sterigenics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Nordion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Nelson Labs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lineRule="auto" w:line="240" w:before="0" w:after="0"/>
              <w:ind w:left="0" w:right="0" w:hanging="240"/>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Goodwill at December 31, 2025</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658,919</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267,771</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176,542</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1,103,232</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performed a quantitative assessment of all reporting units (Sterigenics, Nordion and Nelson Labs) as of October 1, 2025. The fair value of each reporting unit was calculated using a discounted cash flow analysis which was dependent on subjective market participant assumptions determined by management. Assumptions used in the analyses included discount rates, revenue growth rates and projected operating cash flows. Estimates of future cash flows are based upon relevant data at a point-in-time, are subject to change, and could vary from actual results. Cash flows are based on recent historical results and are consistent with the Company’s near-term financial forecasts and long-term strategic plans. The estimated fair value of Sterigenics, Nordion and Nelson Labs each exceeded its carrying amount (including goodwill) by an adequate margin to support a positive assertion that goodwill is not impaired as of October 1, 2025. There have been no other significant events or circumstances that occurred since the annual assessment date of October 1 that would change the conclusions reached above. We provide additional information about our goodwill in Note 7, “Goodwill and Other Intangible Assets” to our consolidated financial statements. </w:t>
      </w:r>
    </w:p>
    <w:p>
      <w:pPr>
        <w:pStyle w:val="TextBody"/>
        <w:bidi w:val="0"/>
        <w:spacing w:lineRule="auto" w:line="288" w:before="200" w:after="283"/>
        <w:jc w:val="left"/>
        <w:rPr/>
      </w:pPr>
      <w:r>
        <w:rPr>
          <w:rFonts w:ascii="Times New Roman;serif" w:hAnsi="Times New Roman;serif"/>
          <w:b w:val="false"/>
          <w:i/>
          <w:color w:val="000000"/>
          <w:sz w:val="20"/>
        </w:rPr>
        <w:t>Income Taxes</w:t>
      </w:r>
      <w:r>
        <w:rPr>
          <w:rFonts w:ascii="Times New Roman;serif" w:hAnsi="Times New Roman;serif"/>
          <w:b w:val="false"/>
          <w:color w:val="000000"/>
          <w:sz w:val="20"/>
        </w:rPr>
        <w:t xml:space="preserve">. Income taxes are deemed critical due to their quantitative significance and, in certain instances as described below, involve complex judgments under GAAP. We use the liability method of accounting for income taxes whereby we recognize deferred tax assets and liabilities for the future tax consequences of temporary differences between the tax bases of assets and liabilities and their reported amounts in the consolidated financial statements. Measurements of deferred taxes requires the use of judgment with respect to the realization of tax basis. We periodically review our deferred tax assets for recoverability and establish a valuation allowance based on historical taxable income, projected future taxable income, expected timing of reversals of existing temporary timing differences and the implementation of tax planning strategies. Deferred tax assets will be reduced by a valuation allowance if, based on management’s estimate, it is more likely than not that a portion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deferred tax assets will not be realized in a future period. The estimates used in the recognition of deferred tax assets are subject to revision in future periods based on new facts and circumstances. At December 31, 2025 and 2024, we maintained a valuation allowance of $172.3 million and $160.6 million, respectively, against our deferred tax assets, primarily attributable to the excess interest expense on our long-term debt in the United States, as well as state and foreign net operating loss carryforwards. If we are unable to generate sufficient future taxable income in certain tax jurisdictions, or if there is a material change in the effective income tax rates or time period within which the underlying temporary differences become taxable or deductible, we could be required to increase our valuation allowance, which would increase our effective income tax rate and could result in an adverse impact on our consolidated financial position or results of operations. Changes in our judgment related to the measurement of deferred tax assets and liabilities could materially impact our results of operations.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determine whether it is more likely than not that a tax position will be sustained upon examination, including resolution of related appeals or litigation processes, based on the technical merits of the position. In evaluating whether a tax position meets the more likely-than-not recognition threshold, we presume that the position will be examined by the appropriate taxing authority and that the taxing authority will have full knowledge of all relevant information. A tax position that meets the more likely-than-not recognition threshold is measured at the largest amount of benefit that is greater than 50% likely of being realized upon ultimate settlement. Determining what constitutes an individual tax position and whether the more likely-than-not recognition threshold is met for a tax position are matters of judgment based on the individual facts and circumstances of that position evaluated in light of all available evidence. We review and adjust tax estimates periodically because of ongoing examinations by, and settlements with, the various taxing authorities, as well as changes in tax laws, regulations, and precedent. Changes in our judgment related to the assessment of uncertain tax positions could materially impact our results of operations.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are subject to taxation from federal, state, local, and foreign jurisdictions. Tax positions are settled primarily through the completion of audits within each individual tax jurisdiction or the closing of a statute of limitation. Changes in applicable tax law or other events may also require us to revise past estimates. The United States Internal Revenue Service routinely conducts audits of our federal income tax returns. Additional information regarding income taxes is included in Note 10, “Income Taxes” to our consolidated financial statements. </w:t>
      </w:r>
    </w:p>
    <w:p>
      <w:pPr>
        <w:pStyle w:val="TextBody"/>
        <w:bidi w:val="0"/>
        <w:spacing w:lineRule="auto" w:line="288" w:before="200" w:after="283"/>
        <w:jc w:val="left"/>
        <w:rPr/>
      </w:pPr>
      <w:r>
        <w:rPr>
          <w:rFonts w:ascii="Times New Roman;serif" w:hAnsi="Times New Roman;serif"/>
          <w:b w:val="false"/>
          <w:i/>
          <w:color w:val="000000"/>
          <w:sz w:val="20"/>
        </w:rPr>
        <w:t>Commitments and Contingencies</w:t>
      </w:r>
      <w:r>
        <w:rPr>
          <w:rFonts w:ascii="Times New Roman;serif" w:hAnsi="Times New Roman;serif"/>
          <w:b w:val="false"/>
          <w:color w:val="000000"/>
          <w:sz w:val="20"/>
        </w:rPr>
        <w:t xml:space="preserve">. Commitments and Contingencies are deemed critical due to their potential for quantitative significance and the requirement for complex judgments and estimate considerations under GAAP. We are, and will likely continue to be, involved in a number of legal proceedings, government investigations and claims, which we believe generally arise in the course of our business, given our size, history, complexity and the nature of our business, products, customers, regulatory environment and industries in which we participate. These legal proceedings, investigations and claims generally involve a variety of legal theories and allegations, including, without limitation, personal injury (e.g., slip and falls, burns, vehicle accidents, mass tort), regulation (e.g., failure to meet specification or failure to comply with regulatory requirements), commercial claims (e.g., breach of contract, economic loss, misrepresentation), financial (e.g., taxes, reporting), employment (e.g., wrongful termination, discrimination, benefits matters) and other claims for damage and relief. </w:t>
      </w:r>
    </w:p>
    <w:p>
      <w:pPr>
        <w:pStyle w:val="TextBody"/>
        <w:bidi w:val="0"/>
        <w:spacing w:lineRule="auto" w:line="288" w:before="200" w:after="283"/>
        <w:jc w:val="left"/>
        <w:rPr/>
      </w:pPr>
      <w:r>
        <w:rPr>
          <w:rFonts w:ascii="Times New Roman;serif" w:hAnsi="Times New Roman;serif"/>
          <w:b w:val="false"/>
          <w:color w:val="000000"/>
          <w:sz w:val="20"/>
        </w:rPr>
        <w:t>We record a liability for such contingencies to the extent we conclude that their occurrence is both probable and estimable. If a potentially material loss contingency is not probable, but is reasonably possible, or is probable but cannot be estimated, then the nature of the contingent liability is disclosed within our consolidated financial statements, together with an estimate of the range of possible loss if the range is determinable and material. We consider many factors in making these assessments, including the professional judgment of experienced members of management and our legal counsel. For legal proceedings and claims described within our consolidated financial statements, we have made estimates as to the likelihood of unfavorable outcomes and the amounts of such potential losses, if a range is determinable. While it is not possible to determine the ultimate disposition of each of these matters, the ultimate resolution of pending regulatory and legal matters in future periods may have a material adverse effect on our financial condition, results of operations and/or liquidity. The Company may also incur material defense and settlement costs, diversion of management resources and other adverse effects on our business, financial condition, and/or results of operations. We record gain contingencies when realized and expected recoveries under applicable insurance contracts when we are assured of recovery. Refer to Note 19,</w:t>
      </w:r>
      <w:r>
        <w:rPr>
          <w:color w:val="000000"/>
        </w:rPr>
        <w:t xml:space="preserve"> “</w:t>
      </w:r>
      <w:r>
        <w:rPr>
          <w:rFonts w:ascii="Times New Roman;serif" w:hAnsi="Times New Roman;serif"/>
          <w:b w:val="false"/>
          <w:color w:val="000000"/>
          <w:sz w:val="20"/>
        </w:rPr>
        <w:t>Commitments and Contingencies,” to our consolidated financial statements.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On April 3, 2025, the Company reached an agreement to settle approximately 97 pending and threatened EO claims in Illinois. Under the terms of the agreement, the Company paid $30.9 million to settle the claims.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On July 23, 2025 the Company reached an agreement to settle approximately 129 pending and threatened EO claims in Illinois. Under the terms of the agreement, the Company paid $34.0 million to settle the claims.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NEW ACCOUNTING PRONOUNCEMENTS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For a description of recent accounting pronouncements applicable to our business, see Note 2, “Recent Accounting Standards” to our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7A. Quantitative and Qualitative Disclosures About Market Risk</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are exposed to market risks in the ordinary course of business, primarily changes in commodity prices, interest rates and foreign currency exchange rates and regulatory risk. </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 xml:space="preserve">Commodity Price Risk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purchase our supply of EO gas from various suppliers around the world, but in the United States there is a sole supplier for EO gas used for applications relevant to our business. We are exposed to market risk based on fluctuations in the price of EO gas.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actively seek to manage the risk of fluctuating prices through long-term supply and service contracts. Most of our Sterigenics customer contracts contain provisions that permit us to pass through all or a portion of our supply price increases to our customers, though some of our contracts do not contain these provisions. Even for contracts that do contain these provisions, there is often at least a brief lag between when we incur increased costs for supplies and when we can pass through these costs to our customers. In addition, even when we are contractually permitted to pass on price increases, we may decide not to do so to preserve our sales volumes or for other reasons. </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 xml:space="preserve">Interest Rate Risk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We are subject to interest rate risk on borrowings that bear interest at floating rates. From time to time, the Company utilizes interest rate derivatives to reduce the variability of cash flows in the interest payments associated with our variable rate borrowings.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In March 2025, we entered into an interest rate swap agreement with a notional amount of $400.0 million. The interest rate swap became effective on August 31, 2025 and expires on August 31, 2027. We have designated the interest swap as a cash</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flow hedge designed to hedge the variability of cash flows attributable to changes in the SOFR benchmark interest rate of our Term Loans (or any successor thereto). We receive interest at the one-month Term SOFR rate and pay a fixed interest rate under the terms of the swap agreement.</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In March 2023, we entered into an interest rate swap agreement with a notional amount of $400.0 million. The interest rate swap’s effective date began on August 23, 2023 and expired on August 23, 2025. We designated the interest rate swap as a cash flow hedge designed to hedge the variability of cash flows attributable to changes in the SOFR benchmark interest rate of our Term Loans. We receive interest at the one-month Term SOFR rate and pay a fixed interest rate under the terms of the swap agreement.</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Based on our indebtedness outstanding as of December 31, 2025, the interest rate under our Term Loans that was in effect on December 31, 2025, and after applying the effects of interest rate caps and the swap referenced above, a 1.0% increase in the interest rate under our outstanding debt obligations as of December 31, 2025, would increase interest expense by approximately $10.2 million per year.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See Note 20, “Financial Instruments and Financial Risk” to our consolidated financial statements for a summary of the activity of the interest rate caps for the periods presented. </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 xml:space="preserve">Foreign Currency Exchange Rate Risk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are exposed to market risk from fluctuations in foreign currencies. We present our consolidated financial statements in U.S. dollars. Consequently, increases or decreases in the value of the U.S. dollar relative to the non-U.S. dollar functional currencies of the countries in which we operate may affect the value of assets, liabilities, revenues, expenses and other figures presented in our consolidated financial statements, even if their value has not changed in their local currencies. We translate the financial statements of subsidiaries whose local currency is their functional currency to their U.S. dollar equivalents at end-of-period exchange rates for assets and liabilities and at average exchange rates for revenues and expenses. These translations could significantly affect the comparability of our results between financial periods and/or result in significant changes to the carrying value of our assets and liabilities. Translation adjustments are recorded as a component of accumulated other comprehensive income (loss) within equity.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Our results of operations are impacted by currency exchange rate fluctuations to the extent that we are unable to match net revenues received in foreign currencies with expenses incurred in the same currency. Transaction gains and losses arising from fluctuations in currency exchange rates on transactions denominated in currencies other than the functional currency are recognized in the Consolidated Statements of Operations and Comprehensive Income (Loss) as foreign exchange loss (gain).</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Company also enters into foreign currency forward contracts to manage foreign currency exchange rate risk of our intercompany loans in certain of our international subsidiaries and non-functional currency assets and liabilities. These foreign currency forward contracts generally expire on a monthly basis.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Approximately 45.9% of our revenues and 47.6% of our consolidated total assets as of December 31, 2025 were derived from operations outside the United States. Holding other variables constant (such as interest rates and debt levels), if the U.S. dollar had appreciated by 10% against the foreign currencies used by our operations in the year ended December 31, 2025, revenues would have been reduced by approximately $53.4 million and gross profit by approximately $29.2 million.</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 xml:space="preserve">Regulatory Risk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We are subject to extensive regulatory requirements and routine regulatory audits, and we must receive permits, licenses, and/or regulatory clearance or approval for numerous aspects of our operations. Regulatory agencies may refuse to grant approval or clearance or may require the provision of additional data, and regulatory processes may be time consuming and costly, and their outcome may be uncertain in certain of the countries in which we operate. Regulatory agencies may also change policies, adopt additional regulations or revise existing regulations, any of which could impact our ability to provide our services. Our failure to comply with the regulatory requirements of these agencies may subject us to administratively or judicially imposed sanctions. These sanctions could include, among others, warning letters, fines, civil penalties, criminal penalties, injunctions, debarment, product seizure or detention and total or partial suspension of operations. The failure to receive or maintain, or delays in the receipt of, relevant U.S. or international regulatory qualifications could have a material adverse effect on our business, prospects, financial condition or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8. Financial Statements and Supplementary Data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INDEX TO CONSOLIDATED FINANCIAL STATEMENTS</w:t>
      </w:r>
    </w:p>
    <w:tbl>
      <w:tblPr>
        <w:tblW w:w="6691" w:type="dxa"/>
        <w:jc w:val="left"/>
        <w:tblInd w:w="0" w:type="dxa"/>
        <w:tblLayout w:type="fixed"/>
        <w:tblCellMar>
          <w:top w:w="28" w:type="dxa"/>
          <w:left w:w="28" w:type="dxa"/>
          <w:bottom w:w="28" w:type="dxa"/>
          <w:right w:w="28" w:type="dxa"/>
        </w:tblCellMar>
      </w:tblPr>
      <w:tblGrid>
        <w:gridCol w:w="2256"/>
        <w:gridCol w:w="1982"/>
        <w:gridCol w:w="1987"/>
        <w:gridCol w:w="136"/>
        <w:gridCol w:w="136"/>
        <w:gridCol w:w="194"/>
      </w:tblGrid>
      <w:tr>
        <w:trPr/>
        <w:tc>
          <w:tcPr>
            <w:tcW w:w="2256" w:type="dxa"/>
            <w:tcBorders/>
            <w:vAlign w:val="center"/>
          </w:tcPr>
          <w:p>
            <w:pPr>
              <w:pStyle w:val="TableContents"/>
              <w:bidi w:val="0"/>
              <w:spacing w:before="0" w:after="283"/>
              <w:jc w:val="left"/>
              <w:rPr>
                <w:sz w:val="4"/>
                <w:szCs w:val="4"/>
              </w:rPr>
            </w:pPr>
            <w:r>
              <w:rPr>
                <w:sz w:val="4"/>
                <w:szCs w:val="4"/>
              </w:rPr>
            </w:r>
          </w:p>
        </w:tc>
        <w:tc>
          <w:tcPr>
            <w:tcW w:w="1982" w:type="dxa"/>
            <w:tcBorders/>
            <w:vAlign w:val="center"/>
          </w:tcPr>
          <w:p>
            <w:pPr>
              <w:pStyle w:val="TableContents"/>
              <w:bidi w:val="0"/>
              <w:spacing w:before="0" w:after="283"/>
              <w:jc w:val="left"/>
              <w:rPr>
                <w:sz w:val="4"/>
                <w:szCs w:val="4"/>
              </w:rPr>
            </w:pPr>
            <w:r>
              <w:rPr>
                <w:sz w:val="4"/>
                <w:szCs w:val="4"/>
              </w:rPr>
            </w:r>
          </w:p>
        </w:tc>
        <w:tc>
          <w:tcPr>
            <w:tcW w:w="1987"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6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Consolidated Financial Statements of Sotera Health Company</w:t>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7c953b2e3004595bc062f37867a09bd_88">
              <w:r>
                <w:rPr>
                  <w:rStyle w:val="InternetLink"/>
                  <w:rFonts w:ascii="Times New Roman;serif" w:hAnsi="Times New Roman;serif"/>
                  <w:b w:val="false"/>
                  <w:color w:val="0000FF"/>
                  <w:sz w:val="20"/>
                  <w:u w:val="single"/>
                </w:rPr>
                <w:t>Report of Independent Registered Public Accounting Firm (PCAOB ID: 42)</w:t>
              </w:r>
            </w:hyperlink>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27c953b2e3004595bc062f37867a09bd_88">
              <w:r>
                <w:rPr>
                  <w:rStyle w:val="InternetLink"/>
                  <w:rFonts w:ascii="Times New Roman;serif" w:hAnsi="Times New Roman;serif"/>
                  <w:b w:val="false"/>
                  <w:color w:val="0000FF"/>
                  <w:sz w:val="20"/>
                  <w:u w:val="single"/>
                </w:rPr>
                <w:t>64</w:t>
              </w:r>
            </w:hyperlink>
          </w:p>
        </w:tc>
      </w:tr>
      <w:tr>
        <w:trPr/>
        <w:tc>
          <w:tcPr>
            <w:tcW w:w="62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27c953b2e3004595bc062f37867a09bd_91">
              <w:r>
                <w:rPr>
                  <w:rStyle w:val="InternetLink"/>
                  <w:rFonts w:ascii="Times New Roman;serif" w:hAnsi="Times New Roman;serif"/>
                  <w:b w:val="false"/>
                  <w:color w:val="0000FF"/>
                  <w:sz w:val="20"/>
                  <w:u w:val="single"/>
                </w:rPr>
                <w:t>Consolidated Balance Sheets</w:t>
              </w:r>
            </w:hyperlink>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27c953b2e3004595bc062f37867a09bd_91">
              <w:r>
                <w:rPr>
                  <w:rStyle w:val="InternetLink"/>
                  <w:rFonts w:ascii="Times New Roman;serif" w:hAnsi="Times New Roman;serif"/>
                  <w:b w:val="false"/>
                  <w:color w:val="0000FF"/>
                  <w:sz w:val="20"/>
                  <w:u w:val="single"/>
                </w:rPr>
                <w:t>66</w:t>
              </w:r>
            </w:hyperlink>
          </w:p>
        </w:tc>
      </w:tr>
      <w:tr>
        <w:trPr/>
        <w:tc>
          <w:tcPr>
            <w:tcW w:w="622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pPr>
            <w:hyperlink w:anchor="i27c953b2e3004595bc062f37867a09bd_94">
              <w:r>
                <w:rPr>
                  <w:rStyle w:val="InternetLink"/>
                  <w:rFonts w:ascii="Times New Roman;serif" w:hAnsi="Times New Roman;serif"/>
                  <w:b w:val="false"/>
                  <w:color w:val="0000FF"/>
                  <w:sz w:val="20"/>
                  <w:u w:val="single"/>
                </w:rPr>
                <w:t>Consolidated Statements of Operations and Comprehensive Income (Loss)</w:t>
              </w:r>
            </w:hyperlink>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27c953b2e3004595bc062f37867a09bd_94">
              <w:r>
                <w:rPr>
                  <w:rStyle w:val="InternetLink"/>
                  <w:rFonts w:ascii="Times New Roman;serif" w:hAnsi="Times New Roman;serif"/>
                  <w:b w:val="false"/>
                  <w:color w:val="0000FF"/>
                  <w:sz w:val="20"/>
                  <w:u w:val="single"/>
                </w:rPr>
                <w:t>67</w:t>
              </w:r>
            </w:hyperlink>
          </w:p>
        </w:tc>
      </w:tr>
      <w:tr>
        <w:trPr/>
        <w:tc>
          <w:tcPr>
            <w:tcW w:w="62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27c953b2e3004595bc062f37867a09bd_97">
              <w:r>
                <w:rPr>
                  <w:rStyle w:val="InternetLink"/>
                  <w:rFonts w:ascii="Times New Roman;serif" w:hAnsi="Times New Roman;serif"/>
                  <w:b w:val="false"/>
                  <w:color w:val="0000FF"/>
                  <w:sz w:val="20"/>
                  <w:u w:val="single"/>
                </w:rPr>
                <w:t>Consolidated Statements of Cash Flows</w:t>
              </w:r>
            </w:hyperlink>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27c953b2e3004595bc062f37867a09bd_97">
              <w:r>
                <w:rPr>
                  <w:rStyle w:val="InternetLink"/>
                  <w:rFonts w:ascii="Times New Roman;serif" w:hAnsi="Times New Roman;serif"/>
                  <w:b w:val="false"/>
                  <w:color w:val="0000FF"/>
                  <w:sz w:val="20"/>
                  <w:u w:val="single"/>
                </w:rPr>
                <w:t>68</w:t>
              </w:r>
            </w:hyperlink>
          </w:p>
        </w:tc>
      </w:tr>
      <w:tr>
        <w:trPr/>
        <w:tc>
          <w:tcPr>
            <w:tcW w:w="62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7c953b2e3004595bc062f37867a09bd_100">
              <w:r>
                <w:rPr>
                  <w:rStyle w:val="InternetLink"/>
                  <w:rFonts w:ascii="Times New Roman;serif" w:hAnsi="Times New Roman;serif"/>
                  <w:b w:val="false"/>
                  <w:color w:val="0000FF"/>
                  <w:sz w:val="20"/>
                  <w:u w:val="single"/>
                </w:rPr>
                <w:t>Consolidated Statements of Equity</w:t>
              </w:r>
            </w:hyperlink>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27c953b2e3004595bc062f37867a09bd_100">
              <w:r>
                <w:rPr>
                  <w:rStyle w:val="InternetLink"/>
                  <w:rFonts w:ascii="Times New Roman;serif" w:hAnsi="Times New Roman;serif"/>
                  <w:b w:val="false"/>
                  <w:color w:val="0000FF"/>
                  <w:sz w:val="20"/>
                  <w:u w:val="single"/>
                </w:rPr>
                <w:t>69</w:t>
              </w:r>
            </w:hyperlink>
          </w:p>
        </w:tc>
      </w:tr>
      <w:tr>
        <w:trPr/>
        <w:tc>
          <w:tcPr>
            <w:tcW w:w="62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27c953b2e3004595bc062f37867a09bd_103">
              <w:r>
                <w:rPr>
                  <w:rStyle w:val="InternetLink"/>
                  <w:rFonts w:ascii="Times New Roman;serif" w:hAnsi="Times New Roman;serif"/>
                  <w:b w:val="false"/>
                  <w:color w:val="0000FF"/>
                  <w:sz w:val="20"/>
                  <w:u w:val="single"/>
                </w:rPr>
                <w:t>Notes to Consolidated Financial Statements</w:t>
              </w:r>
            </w:hyperlink>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27c953b2e3004595bc062f37867a09bd_103">
              <w:r>
                <w:rPr>
                  <w:rStyle w:val="InternetLink"/>
                  <w:rFonts w:ascii="Times New Roman;serif" w:hAnsi="Times New Roman;serif"/>
                  <w:b w:val="false"/>
                  <w:color w:val="0000FF"/>
                  <w:sz w:val="20"/>
                  <w:u w:val="single"/>
                </w:rPr>
                <w:t>70</w:t>
              </w:r>
            </w:hyperlink>
          </w:p>
        </w:tc>
      </w:tr>
      <w:tr>
        <w:trPr/>
        <w:tc>
          <w:tcPr>
            <w:tcW w:w="6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Supplementary Data</w:t>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27c953b2e3004595bc062f37867a09bd_172">
              <w:r>
                <w:rPr>
                  <w:rStyle w:val="InternetLink"/>
                  <w:rFonts w:ascii="Times New Roman;serif" w:hAnsi="Times New Roman;serif"/>
                  <w:b w:val="false"/>
                  <w:color w:val="0000FF"/>
                  <w:sz w:val="20"/>
                  <w:u w:val="single"/>
                </w:rPr>
                <w:t>Schedule II – Valuation and Qualifying Accounts</w:t>
              </w:r>
            </w:hyperlink>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27c953b2e3004595bc062f37867a09bd_172">
              <w:r>
                <w:rPr>
                  <w:rStyle w:val="InternetLink"/>
                  <w:rFonts w:ascii="Times New Roman;serif" w:hAnsi="Times New Roman;serif"/>
                  <w:b w:val="false"/>
                  <w:color w:val="0000FF"/>
                  <w:sz w:val="20"/>
                  <w:u w:val="single"/>
                </w:rPr>
                <w:t>110</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REPORT OF INDEPENDENT REGISTERED PUBLIC ACCOUNTING FIRM</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To the Stockholders and the Board of Directors of Sotera Health Company</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 xml:space="preserve">Opinion on the Financial Statements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have audited the accompanying consolidated balance sheets of Sotera Health Company (the Company) as of December 31, 2025 and 2024, the related consolidated statements of operations and comprehensive income (loss), equity and cash flows for each of the three years in the period ended December 31, 2025, and the related notes and financial statement schedule listed in the Index at Item 15(a)(2) (collectively referred to as the “consolidated financial statements”). In our opinion, the consolidated financial statements present fairly, in all material respects, the financial position of the Company at December 31, 2025 and 2024, and the results of its operations and its cash flows for each of the three years in the period ended December 31, 2025, in conformity with U.S. generally accepted accounting principles.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We also have audited, in accordance with the standards of the Public Company Accounting Oversight Board (United States) (PCAOB), the Company's internal control over financial reporting as of December 31, 2025, based on criteria established in Internal Control—Integrated Framework issued by the Committee of Sponsoring Organizations of the Treadway Commission (2013 framework), and our report dated February 24, 2026 expressed an unqualified opinion thereon.</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Basis for Opinion</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Critical Audit Matter</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 or disclosure to which it relates.</w:t>
      </w:r>
    </w:p>
    <w:tbl>
      <w:tblPr>
        <w:tblW w:w="10205" w:type="dxa"/>
        <w:jc w:val="left"/>
        <w:tblInd w:w="0" w:type="dxa"/>
        <w:tblLayout w:type="fixed"/>
        <w:tblCellMar>
          <w:top w:w="28" w:type="dxa"/>
          <w:left w:w="28" w:type="dxa"/>
          <w:bottom w:w="28" w:type="dxa"/>
          <w:right w:w="28" w:type="dxa"/>
        </w:tblCellMar>
      </w:tblPr>
      <w:tblGrid>
        <w:gridCol w:w="461"/>
        <w:gridCol w:w="406"/>
        <w:gridCol w:w="408"/>
        <w:gridCol w:w="2786"/>
        <w:gridCol w:w="2539"/>
        <w:gridCol w:w="3605"/>
      </w:tblGrid>
      <w:tr>
        <w:trPr/>
        <w:tc>
          <w:tcPr>
            <w:tcW w:w="46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2539" w:type="dxa"/>
            <w:tcBorders/>
            <w:vAlign w:val="center"/>
          </w:tcPr>
          <w:p>
            <w:pPr>
              <w:pStyle w:val="TableContents"/>
              <w:bidi w:val="0"/>
              <w:spacing w:before="0" w:after="283"/>
              <w:jc w:val="left"/>
              <w:rPr>
                <w:sz w:val="4"/>
                <w:szCs w:val="4"/>
              </w:rPr>
            </w:pPr>
            <w:r>
              <w:rPr>
                <w:sz w:val="4"/>
                <w:szCs w:val="4"/>
              </w:rPr>
            </w:r>
          </w:p>
        </w:tc>
        <w:tc>
          <w:tcPr>
            <w:tcW w:w="3605" w:type="dxa"/>
            <w:tcBorders/>
            <w:vAlign w:val="center"/>
          </w:tcPr>
          <w:p>
            <w:pPr>
              <w:pStyle w:val="TableContents"/>
              <w:bidi w:val="0"/>
              <w:spacing w:before="0" w:after="283"/>
              <w:jc w:val="left"/>
              <w:rPr>
                <w:sz w:val="4"/>
                <w:szCs w:val="4"/>
              </w:rPr>
            </w:pPr>
            <w:r>
              <w:rPr>
                <w:sz w:val="4"/>
                <w:szCs w:val="4"/>
              </w:rPr>
            </w:r>
          </w:p>
        </w:tc>
      </w:tr>
      <w:tr>
        <w:trPr/>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Valuation of Goodwill</w:t>
            </w:r>
          </w:p>
        </w:tc>
      </w:tr>
      <w:tr>
        <w:trPr/>
        <w:tc>
          <w:tcPr>
            <w:tcW w:w="1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Description of the Matter</w:t>
            </w:r>
          </w:p>
        </w:tc>
        <w:tc>
          <w:tcPr>
            <w:tcW w:w="8930" w:type="dxa"/>
            <w:gridSpan w:val="3"/>
            <w:tcBorders/>
            <w:tcMar>
              <w:top w:w="0" w:type="dxa"/>
              <w:left w:w="0" w:type="dxa"/>
              <w:bottom w:w="0" w:type="dxa"/>
              <w:right w:w="0" w:type="dxa"/>
            </w:tcMar>
            <w:vAlign w:val="center"/>
          </w:tcPr>
          <w:p>
            <w:pPr>
              <w:pStyle w:val="TableContents"/>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As disclosed in Note 7 to the consolidated financial statements, at December 31, 2025, the Company reported $1.1 billion of goodwill. As explained in Note 1 to the consolidated financial statements, goodwill is tested for impairment annually as of October 1. Management performed a quantitative impairment assessment for its annual evaluation of the reporting units in 2025. As part of the quantitative impairment test, management estimated the fair value of the reporting units using the discounted cash flow method, a form of the income approach.</w:t>
            </w:r>
          </w:p>
          <w:p>
            <w:pPr>
              <w:pStyle w:val="TableContents"/>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determination of the fair value of the reporting units is based on the use of the valuation methodology selected by management, which requires auditor judgment due to the consideration of various assumptions that could impact the valuation. Auditing the valuation methodology, including consideration of the underlying assumptions, involved extensive audit effort and required audit professionals with appropriate industry experience.</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694"/>
        <w:gridCol w:w="610"/>
        <w:gridCol w:w="612"/>
        <w:gridCol w:w="2427"/>
        <w:gridCol w:w="2427"/>
        <w:gridCol w:w="3435"/>
      </w:tblGrid>
      <w:tr>
        <w:trPr/>
        <w:tc>
          <w:tcPr>
            <w:tcW w:w="694"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2427" w:type="dxa"/>
            <w:tcBorders/>
            <w:vAlign w:val="center"/>
          </w:tcPr>
          <w:p>
            <w:pPr>
              <w:pStyle w:val="TableContents"/>
              <w:bidi w:val="0"/>
              <w:spacing w:before="0" w:after="283"/>
              <w:jc w:val="left"/>
              <w:rPr>
                <w:sz w:val="4"/>
                <w:szCs w:val="4"/>
              </w:rPr>
            </w:pPr>
            <w:r>
              <w:rPr>
                <w:sz w:val="4"/>
                <w:szCs w:val="4"/>
              </w:rPr>
            </w:r>
          </w:p>
        </w:tc>
        <w:tc>
          <w:tcPr>
            <w:tcW w:w="2427" w:type="dxa"/>
            <w:tcBorders/>
            <w:vAlign w:val="center"/>
          </w:tcPr>
          <w:p>
            <w:pPr>
              <w:pStyle w:val="TableContents"/>
              <w:bidi w:val="0"/>
              <w:spacing w:before="0" w:after="283"/>
              <w:jc w:val="left"/>
              <w:rPr>
                <w:sz w:val="4"/>
                <w:szCs w:val="4"/>
              </w:rPr>
            </w:pPr>
            <w:r>
              <w:rPr>
                <w:sz w:val="4"/>
                <w:szCs w:val="4"/>
              </w:rPr>
            </w:r>
          </w:p>
        </w:tc>
        <w:tc>
          <w:tcPr>
            <w:tcW w:w="3435" w:type="dxa"/>
            <w:tcBorders/>
            <w:vAlign w:val="center"/>
          </w:tcPr>
          <w:p>
            <w:pPr>
              <w:pStyle w:val="TableContents"/>
              <w:bidi w:val="0"/>
              <w:spacing w:before="0" w:after="283"/>
              <w:jc w:val="left"/>
              <w:rPr>
                <w:sz w:val="4"/>
                <w:szCs w:val="4"/>
              </w:rPr>
            </w:pPr>
            <w:r>
              <w:rPr>
                <w:sz w:val="4"/>
                <w:szCs w:val="4"/>
              </w:rPr>
            </w:r>
          </w:p>
        </w:tc>
      </w:tr>
      <w:tr>
        <w:trPr/>
        <w:tc>
          <w:tcPr>
            <w:tcW w:w="1916"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i/>
                <w:color w:val="000000"/>
                <w:sz w:val="20"/>
              </w:rPr>
            </w:pPr>
            <w:r>
              <w:rPr>
                <w:rFonts w:ascii="Times New Roman;serif" w:hAnsi="Times New Roman;serif"/>
                <w:b w:val="false"/>
                <w:i/>
                <w:color w:val="000000"/>
                <w:sz w:val="20"/>
              </w:rPr>
              <w:t>How We Addressed the Matter in Our Audit</w:t>
            </w:r>
          </w:p>
        </w:tc>
        <w:tc>
          <w:tcPr>
            <w:tcW w:w="8289" w:type="dxa"/>
            <w:gridSpan w:val="3"/>
            <w:tcBorders/>
            <w:tcMar>
              <w:top w:w="0" w:type="dxa"/>
              <w:left w:w="0" w:type="dxa"/>
              <w:bottom w:w="0" w:type="dxa"/>
              <w:right w:w="0" w:type="dxa"/>
            </w:tcMar>
            <w:vAlign w:val="center"/>
          </w:tcPr>
          <w:p>
            <w:pPr>
              <w:pStyle w:val="TableContents"/>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obtained an understanding, evaluated the design and tested the operating effectiveness of controls over the Company’s goodwill impairment evaluation process. </w:t>
            </w:r>
          </w:p>
          <w:p>
            <w:pPr>
              <w:pStyle w:val="TableContents"/>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Our audit procedures to test management’s annual impairment evaluation of the reporting units included, among others, assessing the valuation methodology, assessing the historical accuracy of management’s estimates and performing sensitivity analyses.</w:t>
            </w:r>
          </w:p>
          <w:p>
            <w:pPr>
              <w:pStyle w:val="TableContents"/>
              <w:bidi w:val="0"/>
              <w:spacing w:before="0" w:after="0"/>
              <w:jc w:val="both"/>
              <w:rPr/>
            </w:pPr>
            <w:r>
              <w:rPr/>
            </w:r>
          </w:p>
        </w:tc>
      </w:tr>
    </w:tbl>
    <w:p>
      <w:pPr>
        <w:pStyle w:val="TextBody"/>
        <w:bidi w:val="0"/>
        <w:spacing w:before="240" w:after="283"/>
        <w:jc w:val="left"/>
        <w:rPr/>
      </w:pPr>
      <w:r>
        <w:rPr/>
      </w:r>
    </w:p>
    <w:p>
      <w:pPr>
        <w:pStyle w:val="TextBody"/>
        <w:bidi w:val="0"/>
        <w:spacing w:lineRule="auto" w:line="288" w:before="36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 Ernst &amp; Young LLP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have served as the Company’s auditor since 2019.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Cleveland, Ohio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February 24,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 xml:space="preserve">Sotera Health Company </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Consolidated Balance Sheets </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(in thousands, except per share amounts)</w:t>
      </w:r>
    </w:p>
    <w:tbl>
      <w:tblPr>
        <w:tblW w:w="10205" w:type="dxa"/>
        <w:jc w:val="left"/>
        <w:tblInd w:w="0" w:type="dxa"/>
        <w:tblLayout w:type="fixed"/>
        <w:tblCellMar>
          <w:top w:w="28" w:type="dxa"/>
          <w:left w:w="28" w:type="dxa"/>
          <w:bottom w:w="28" w:type="dxa"/>
          <w:right w:w="28" w:type="dxa"/>
        </w:tblCellMar>
      </w:tblPr>
      <w:tblGrid>
        <w:gridCol w:w="2754"/>
        <w:gridCol w:w="2349"/>
        <w:gridCol w:w="2362"/>
        <w:gridCol w:w="196"/>
        <w:gridCol w:w="886"/>
        <w:gridCol w:w="109"/>
        <w:gridCol w:w="109"/>
        <w:gridCol w:w="109"/>
        <w:gridCol w:w="109"/>
        <w:gridCol w:w="196"/>
        <w:gridCol w:w="871"/>
        <w:gridCol w:w="155"/>
      </w:tblGrid>
      <w:tr>
        <w:trPr/>
        <w:tc>
          <w:tcPr>
            <w:tcW w:w="2754" w:type="dxa"/>
            <w:tcBorders/>
            <w:vAlign w:val="center"/>
          </w:tcPr>
          <w:p>
            <w:pPr>
              <w:pStyle w:val="TableContents"/>
              <w:bidi w:val="0"/>
              <w:spacing w:before="0" w:after="283"/>
              <w:jc w:val="left"/>
              <w:rPr>
                <w:sz w:val="4"/>
                <w:szCs w:val="4"/>
              </w:rPr>
            </w:pPr>
            <w:r>
              <w:rPr>
                <w:sz w:val="4"/>
                <w:szCs w:val="4"/>
              </w:rPr>
            </w:r>
          </w:p>
        </w:tc>
        <w:tc>
          <w:tcPr>
            <w:tcW w:w="2349" w:type="dxa"/>
            <w:tcBorders/>
            <w:vAlign w:val="center"/>
          </w:tcPr>
          <w:p>
            <w:pPr>
              <w:pStyle w:val="TableContents"/>
              <w:bidi w:val="0"/>
              <w:spacing w:before="0" w:after="283"/>
              <w:jc w:val="left"/>
              <w:rPr>
                <w:sz w:val="4"/>
                <w:szCs w:val="4"/>
              </w:rPr>
            </w:pPr>
            <w:r>
              <w:rPr>
                <w:sz w:val="4"/>
                <w:szCs w:val="4"/>
              </w:rPr>
            </w:r>
          </w:p>
        </w:tc>
        <w:tc>
          <w:tcPr>
            <w:tcW w:w="236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4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December 31,</w:t>
            </w:r>
          </w:p>
        </w:tc>
      </w:tr>
      <w:tr>
        <w:trPr/>
        <w:tc>
          <w:tcPr>
            <w:tcW w:w="74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7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Assets</w:t>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assets:</w:t>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344,621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277,242 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Restricted cash short-term</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1,835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1,623 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Accounts receivable, net of allowance for uncollectible accounts of $2,968 and $2,532 as of December 31, 2025 and 2024, respectively</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139,329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140,327 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Inventories, net</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54,375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49,158 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Prepaid expenses and other current assets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65,250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51,031 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taxes receivable</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8,000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6,656 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current assets</w:t>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613,410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526,037 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Property, plant, and equipment, net</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1,130,564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1,036,892 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assets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33,393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27,551 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income taxes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3,853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2,865 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Post-retirement assets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53,817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42,524 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assets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36,694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37,053 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intangible assets, net</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288,227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317,653 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Goodwill</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1,103,232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1,081,073 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assets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3,263,190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3,071,648 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Liabilities and equity</w:t>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liabilities:</w:t>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77,963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55,098 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Accrued liabilities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124,736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90,463 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revenue</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17,999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portion of long-term debt</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13,973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14,803 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portion of finance lease obligations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3,465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2,923 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portion of operating lease obligations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5,755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5,056 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taxes payable</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5,693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7,559 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current liabilities</w:t>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249,584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191,002 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Long-term debt</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2,126,724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2,208,100 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Finance lease obligations, less current portion</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93,835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95,286 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obligations, less current portion</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29,901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24,465 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Noncurrent asset retirement obligations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53,496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49,319 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lease income</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17,057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16,784 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Post-retirement obligations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8,123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7,863 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Noncurrent liabilities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7,360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4,418 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income taxes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71,075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69,500 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liabilities</w:t>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2,657,155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2,666,737 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See Commitments and contingencies note</w:t>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Equity:</w:t>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Common stock, with $0.01 par value, 1,200,000 shares authorized; 286,037 shares issued at December 31, 2025 and 2024</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2,860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2,860 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Preferred stock, with $0.01 par value, 120,000 shares authorized; no shares issued at December 31, 2025 and 2024</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Treasury stock, at cost (1,666 and 2,571 shares at December 31, 2025 and 2024, respectively)</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(17,013)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(23,434)</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Additional paid-in capital</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1,262,119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1,243,778 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Retained deficit</w:t>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(532,093)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(610,042)</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Accumulated other comprehensive loss</w:t>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(109,838)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(208,251)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Total equity </w:t>
            </w:r>
          </w:p>
        </w:tc>
        <w:tc>
          <w:tcPr>
            <w:tcW w:w="11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606,035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404,911 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liabilities and equity</w:t>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995"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3,263,190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3,071,648 </w:t>
            </w:r>
          </w:p>
        </w:tc>
        <w:tc>
          <w:tcPr>
            <w:tcW w:w="155"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i/>
          <w:color w:val="000000"/>
          <w:sz w:val="18"/>
        </w:rPr>
      </w:pPr>
      <w:r>
        <w:rPr>
          <w:rFonts w:ascii="Times New Roman;serif" w:hAnsi="Times New Roman;serif"/>
          <w:b w:val="false"/>
          <w:i/>
          <w:color w:val="000000"/>
          <w:sz w:val="18"/>
        </w:rPr>
        <w:t>See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 xml:space="preserve">Sotera Health Company </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Consolidated Statements of Operations and Comprehensive Income (Loss) </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(in thousands, except per share amounts)</w:t>
      </w:r>
    </w:p>
    <w:tbl>
      <w:tblPr>
        <w:tblW w:w="10205" w:type="dxa"/>
        <w:jc w:val="left"/>
        <w:tblInd w:w="0" w:type="dxa"/>
        <w:tblLayout w:type="fixed"/>
        <w:tblCellMar>
          <w:top w:w="28" w:type="dxa"/>
          <w:left w:w="28" w:type="dxa"/>
          <w:bottom w:w="28" w:type="dxa"/>
          <w:right w:w="28" w:type="dxa"/>
        </w:tblCellMar>
      </w:tblPr>
      <w:tblGrid>
        <w:gridCol w:w="2321"/>
        <w:gridCol w:w="2014"/>
        <w:gridCol w:w="2031"/>
        <w:gridCol w:w="196"/>
        <w:gridCol w:w="751"/>
        <w:gridCol w:w="109"/>
        <w:gridCol w:w="109"/>
        <w:gridCol w:w="109"/>
        <w:gridCol w:w="109"/>
        <w:gridCol w:w="196"/>
        <w:gridCol w:w="736"/>
        <w:gridCol w:w="109"/>
        <w:gridCol w:w="109"/>
        <w:gridCol w:w="109"/>
        <w:gridCol w:w="109"/>
        <w:gridCol w:w="196"/>
        <w:gridCol w:w="736"/>
        <w:gridCol w:w="156"/>
      </w:tblGrid>
      <w:tr>
        <w:trPr/>
        <w:tc>
          <w:tcPr>
            <w:tcW w:w="2321" w:type="dxa"/>
            <w:tcBorders/>
            <w:vAlign w:val="center"/>
          </w:tcPr>
          <w:p>
            <w:pPr>
              <w:pStyle w:val="TableContents"/>
              <w:bidi w:val="0"/>
              <w:spacing w:before="0" w:after="283"/>
              <w:jc w:val="left"/>
              <w:rPr>
                <w:sz w:val="4"/>
                <w:szCs w:val="4"/>
              </w:rPr>
            </w:pPr>
            <w:r>
              <w:rPr>
                <w:sz w:val="4"/>
                <w:szCs w:val="4"/>
              </w:rPr>
            </w:r>
          </w:p>
        </w:tc>
        <w:tc>
          <w:tcPr>
            <w:tcW w:w="2014" w:type="dxa"/>
            <w:tcBorders/>
            <w:vAlign w:val="center"/>
          </w:tcPr>
          <w:p>
            <w:pPr>
              <w:pStyle w:val="TableContents"/>
              <w:bidi w:val="0"/>
              <w:spacing w:before="0" w:after="283"/>
              <w:jc w:val="left"/>
              <w:rPr>
                <w:sz w:val="4"/>
                <w:szCs w:val="4"/>
              </w:rPr>
            </w:pPr>
            <w:r>
              <w:rPr>
                <w:sz w:val="4"/>
                <w:szCs w:val="4"/>
              </w:rPr>
            </w:r>
          </w:p>
        </w:tc>
        <w:tc>
          <w:tcPr>
            <w:tcW w:w="203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9"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6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6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Revenues:</w:t>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Service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995,756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941,822 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905,598 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Product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167,861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158,619 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143,690 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Total net revenues</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1,163,617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1,100,441 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1,049,288 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Cost of revenues:</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Service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456,311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439,543 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418,611 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Product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61,772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58,603 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53,519 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Total cost of revenues</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518,083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498,146 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472,130 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Gross profit</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645,534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602,295 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577,158 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 expenses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252,762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242,630 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236,667 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intangible assets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30,738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62,039 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63,799 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net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155,722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164,691 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142,878 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on refinancing of debt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1,462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Georgia EO litigation settlement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Illinois EO litigation settlements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64,943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exchange loss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947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net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(8,546)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(7,372)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Income before income taxes</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147,506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113,874 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106,027 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income taxes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69,557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69,476 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54,651 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Net income</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77,949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44,398 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51,376 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Other comprehensive income (loss) net of tax:</w:t>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Pension and post-retirement benefits (net of taxes of $600, $2,804 and $(3,420), respectively)</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2,386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(10,506)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18"/>
              </w:rPr>
            </w:pPr>
            <w:r>
              <w:rPr>
                <w:rFonts w:ascii="Times New Roman;serif" w:hAnsi="Times New Roman;serif"/>
                <w:b w:val="false"/>
                <w:color w:val="000000"/>
                <w:sz w:val="18"/>
              </w:rPr>
              <w:t>Interest rate derivatives (net of taxes of $(718), $(1,856) and $(5,467), respectively)</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(15,697)</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98,115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(118,635)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40,174 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Comprehensive income (loss)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176,362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(71,171)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65,347 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Earnings per share:</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0.27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0.27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Weighted average number of shares outstanding:</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283,956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282,784 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281,008 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286,421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284,906 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283,222 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Times New Roman;serif" w:hAnsi="Times New Roman;serif"/>
          <w:b w:val="false"/>
          <w:i/>
          <w:color w:val="000000"/>
          <w:sz w:val="18"/>
        </w:rPr>
        <w:t>See notes to consolidated financial statements.</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 xml:space="preserve">Sotera Health Company </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Consolidated Statements of Cash Flows </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(in thousands)</w:t>
      </w:r>
    </w:p>
    <w:tbl>
      <w:tblPr>
        <w:tblW w:w="10134" w:type="dxa"/>
        <w:jc w:val="left"/>
        <w:tblInd w:w="0" w:type="dxa"/>
        <w:tblLayout w:type="fixed"/>
        <w:tblCellMar>
          <w:top w:w="28" w:type="dxa"/>
          <w:left w:w="28" w:type="dxa"/>
          <w:bottom w:w="28" w:type="dxa"/>
          <w:right w:w="28" w:type="dxa"/>
        </w:tblCellMar>
      </w:tblPr>
      <w:tblGrid>
        <w:gridCol w:w="2306"/>
        <w:gridCol w:w="2026"/>
        <w:gridCol w:w="2042"/>
        <w:gridCol w:w="196"/>
        <w:gridCol w:w="661"/>
        <w:gridCol w:w="109"/>
        <w:gridCol w:w="109"/>
        <w:gridCol w:w="109"/>
        <w:gridCol w:w="109"/>
        <w:gridCol w:w="198"/>
        <w:gridCol w:w="747"/>
        <w:gridCol w:w="109"/>
        <w:gridCol w:w="109"/>
        <w:gridCol w:w="109"/>
        <w:gridCol w:w="109"/>
        <w:gridCol w:w="196"/>
        <w:gridCol w:w="736"/>
        <w:gridCol w:w="154"/>
      </w:tblGrid>
      <w:tr>
        <w:trPr/>
        <w:tc>
          <w:tcPr>
            <w:tcW w:w="230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204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0"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6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Operating activities:</w:t>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77,949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44,398 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51,376 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Adjustments to reconcile net income to net cash provided by (used in) operating activities:</w:t>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94,908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84,260 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76,577 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intangible assets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41,798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79,377 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81,348 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Loss on refinancing of debt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1,462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24,168 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income taxes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 expense</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30,878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36,777 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32,238 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Accretion of asset retirement obligations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2,321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Unrealized foreign exchange loss (gain) </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9,517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(18,337)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Unrealized (gain) loss on derivatives not designated as hedging instruments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(863)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debt issuance costs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5,434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(4,275)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(5,319)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Changes in operating assets and liabilities:</w:t>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receivable</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7,151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(21,724)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Inventories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(2,377)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(9,972)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current assets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(12,902)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5,185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(5,333)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Accrued liabilities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1,941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Illinois EO litigation settlement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34,000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(407,712)</w:t>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Georgia EO litigation settlement</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taxes payable / receivable, net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(5,461)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liabilities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295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long-term assets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212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provided by (used in) operating activities</w:t>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287,195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224,164 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(147,732)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Investing activities:</w:t>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 of property, plant and equipment</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(138,018)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(179,070)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(214,975)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investing activities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2,874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used in investing activities</w:t>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(135,144)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(178,996)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(214,906)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Financing activities:</w:t>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long-term borrowings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2,259,350 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Payment of revolving credit facility</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(200,000)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Payments of debt issuance costs and debt discount</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(4,374)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(32,071)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(25,645)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Payments of long-term borrowings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(86,104)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(2,264,373)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Buyout of leased facility</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Shares withheld for employee taxes on equity awards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(6,568)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(4,089)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financing activities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(3,488)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(1,807)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(used in) provided by financing activities</w:t>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(100,534)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(50,564)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265,959 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Effect of exchange rate changes on cash and cash equivalents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16,074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increase (decrease) in cash and cash equivalents, including restricted cash</w:t>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67,591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(22,789)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(94,640)</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 including restricted cash, at beginning of period</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278,865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301,654 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396,294 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 including restricted cash, at end of period</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346,456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278,865 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301,654 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Supplemental disclosures of cash flow information:</w:t>
            </w:r>
          </w:p>
        </w:tc>
        <w:tc>
          <w:tcPr>
            <w:tcW w:w="9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paid during the period for interest</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164,015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179,924 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173,842 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paid during the period for income taxes, net of tax refunds received</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60,873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65,829 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50,210 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 of property, plant and equipment included in accounts payable</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25,330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16,720 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i/>
          <w:color w:val="000000"/>
          <w:sz w:val="18"/>
        </w:rPr>
      </w:pPr>
      <w:r>
        <w:rPr>
          <w:rFonts w:ascii="Times New Roman;serif" w:hAnsi="Times New Roman;serif"/>
          <w:b w:val="false"/>
          <w:i/>
          <w:color w:val="000000"/>
          <w:sz w:val="18"/>
        </w:rPr>
        <w:t>See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 xml:space="preserve">Sotera Health Company </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Consolidated Statements of Equity </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(in thousands)</w:t>
      </w:r>
    </w:p>
    <w:tbl>
      <w:tblPr>
        <w:tblW w:w="10373" w:type="dxa"/>
        <w:jc w:val="center"/>
        <w:tblInd w:w="0" w:type="dxa"/>
        <w:tblLayout w:type="fixed"/>
        <w:tblCellMar>
          <w:top w:w="28" w:type="dxa"/>
          <w:left w:w="28" w:type="dxa"/>
          <w:bottom w:w="28" w:type="dxa"/>
          <w:right w:w="28" w:type="dxa"/>
        </w:tblCellMar>
      </w:tblPr>
      <w:tblGrid>
        <w:gridCol w:w="617"/>
        <w:gridCol w:w="291"/>
        <w:gridCol w:w="293"/>
        <w:gridCol w:w="375"/>
        <w:gridCol w:w="376"/>
        <w:gridCol w:w="213"/>
        <w:gridCol w:w="109"/>
        <w:gridCol w:w="109"/>
        <w:gridCol w:w="109"/>
        <w:gridCol w:w="196"/>
        <w:gridCol w:w="571"/>
        <w:gridCol w:w="109"/>
        <w:gridCol w:w="109"/>
        <w:gridCol w:w="109"/>
        <w:gridCol w:w="109"/>
        <w:gridCol w:w="196"/>
        <w:gridCol w:w="661"/>
        <w:gridCol w:w="109"/>
        <w:gridCol w:w="109"/>
        <w:gridCol w:w="109"/>
        <w:gridCol w:w="109"/>
        <w:gridCol w:w="196"/>
        <w:gridCol w:w="886"/>
        <w:gridCol w:w="109"/>
        <w:gridCol w:w="109"/>
        <w:gridCol w:w="109"/>
        <w:gridCol w:w="109"/>
        <w:gridCol w:w="196"/>
        <w:gridCol w:w="751"/>
        <w:gridCol w:w="109"/>
        <w:gridCol w:w="109"/>
        <w:gridCol w:w="109"/>
        <w:gridCol w:w="109"/>
        <w:gridCol w:w="196"/>
        <w:gridCol w:w="751"/>
        <w:gridCol w:w="109"/>
        <w:gridCol w:w="109"/>
        <w:gridCol w:w="109"/>
        <w:gridCol w:w="109"/>
        <w:gridCol w:w="196"/>
        <w:gridCol w:w="751"/>
        <w:gridCol w:w="154"/>
      </w:tblGrid>
      <w:tr>
        <w:trPr/>
        <w:tc>
          <w:tcPr>
            <w:tcW w:w="617"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3"/>
              </w:rPr>
            </w:pPr>
            <w:r>
              <w:rPr>
                <w:rFonts w:ascii="Times New Roman;serif" w:hAnsi="Times New Roman;serif"/>
                <w:b/>
                <w:color w:val="000000"/>
                <w:sz w:val="13"/>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3"/>
              </w:rPr>
            </w:pPr>
            <w:r>
              <w:rPr>
                <w:rFonts w:ascii="Times New Roman;serif" w:hAnsi="Times New Roman;serif"/>
                <w:b/>
                <w:color w:val="000000"/>
                <w:sz w:val="13"/>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3"/>
              </w:rPr>
            </w:pPr>
            <w:r>
              <w:rPr>
                <w:rFonts w:ascii="Times New Roman;serif" w:hAnsi="Times New Roman;serif"/>
                <w:b/>
                <w:color w:val="000000"/>
                <w:sz w:val="13"/>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3"/>
              </w:rPr>
            </w:pPr>
            <w:r>
              <w:rPr>
                <w:rFonts w:ascii="Times New Roman;serif" w:hAnsi="Times New Roman;serif"/>
                <w:b/>
                <w:color w:val="000000"/>
                <w:sz w:val="13"/>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3"/>
              </w:rPr>
            </w:pPr>
            <w:r>
              <w:rPr>
                <w:rFonts w:ascii="Times New Roman;serif" w:hAnsi="Times New Roman;serif"/>
                <w:b/>
                <w:color w:val="000000"/>
                <w:sz w:val="13"/>
              </w:rPr>
              <w:t>Retained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3"/>
              </w:rPr>
            </w:pPr>
            <w:r>
              <w:rPr>
                <w:rFonts w:ascii="Times New Roman;serif" w:hAnsi="Times New Roman;serif"/>
                <w:b/>
                <w:color w:val="000000"/>
                <w:sz w:val="13"/>
              </w:rPr>
              <w:t>Accumulated</w:t>
              <w:br/>
              <w:t>Other</w:t>
              <w:br/>
              <w:t>Comprehensive</w:t>
              <w:br/>
              <w:t>(Loss)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3"/>
              </w:rPr>
            </w:pPr>
            <w:r>
              <w:rPr>
                <w:rFonts w:ascii="Times New Roman;serif" w:hAnsi="Times New Roman;serif"/>
                <w:b/>
                <w:color w:val="000000"/>
                <w:sz w:val="13"/>
              </w:rPr>
              <w:t xml:space="preserve">Total </w:t>
              <w:br/>
              <w:t>Equity</w:t>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3"/>
              </w:rPr>
            </w:pPr>
            <w:r>
              <w:rPr>
                <w:rFonts w:ascii="Times New Roman;serif" w:hAnsi="Times New Roman;serif"/>
                <w:b/>
                <w:color w:val="000000"/>
                <w:sz w:val="13"/>
              </w:rPr>
              <w:t>Common</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3"/>
              </w:rPr>
            </w:pPr>
            <w:r>
              <w:rPr>
                <w:rFonts w:ascii="Times New Roman;serif" w:hAnsi="Times New Roman;serif"/>
                <w:b/>
                <w:color w:val="000000"/>
                <w:sz w:val="13"/>
              </w:rPr>
              <w:t>Common</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3"/>
              </w:rPr>
            </w:pPr>
            <w:r>
              <w:rPr>
                <w:rFonts w:ascii="Times New Roman;serif" w:hAnsi="Times New Roman;serif"/>
                <w:b/>
                <w:color w:val="000000"/>
                <w:sz w:val="13"/>
              </w:rPr>
              <w:t>Treasury</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c>
          <w:tcPr>
            <w:tcW w:w="110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Balance at January 1, 2023</w:t>
            </w:r>
          </w:p>
        </w:tc>
        <w:tc>
          <w:tcPr>
            <w:tcW w:w="7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282,421</w:t>
            </w:r>
            <w:r>
              <w:rPr>
                <w:color w:val="000000"/>
              </w:rPr>
              <w:t>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2,860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(29,775)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1,189,622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(705,816)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(106,653)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350,238</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 plans</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409 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25,556 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28,149</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Comprehensive income (loss):</w:t>
            </w:r>
          </w:p>
        </w:tc>
        <w:tc>
          <w:tcPr>
            <w:tcW w:w="9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Pension and post-retirement plan adjustments, net of tax</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(10,506)</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Foreign currency translation</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40,174 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360"/>
              <w:jc w:val="right"/>
              <w:rPr>
                <w:rFonts w:ascii="Times New Roman;serif" w:hAnsi="Times New Roman;serif"/>
                <w:b/>
                <w:color w:val="000000"/>
                <w:sz w:val="16"/>
              </w:rPr>
            </w:pPr>
            <w:r>
              <w:rPr>
                <w:rFonts w:ascii="Times New Roman;serif" w:hAnsi="Times New Roman;serif"/>
                <w:b/>
                <w:color w:val="000000"/>
                <w:sz w:val="16"/>
              </w:rPr>
              <w:t>40,174</w:t>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rate derivatives, net of tax</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(15,697)</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51,376 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51,376</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Balance at December 31, 2023</w:t>
            </w:r>
          </w:p>
        </w:tc>
        <w:tc>
          <w:tcPr>
            <w:tcW w:w="7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282,830</w:t>
            </w:r>
            <w:r>
              <w:rPr>
                <w:color w:val="000000"/>
              </w:rPr>
              <w:t> </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2,860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(27,182)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1,215,178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(654,440)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(92,682)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443,734</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 plans</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42424"/>
                <w:sz w:val="16"/>
              </w:rPr>
            </w:pPr>
            <w:r>
              <w:rPr>
                <w:rFonts w:ascii="Times New Roman;serif" w:hAnsi="Times New Roman;serif"/>
                <w:b w:val="false"/>
                <w:color w:val="242424"/>
                <w:sz w:val="16"/>
              </w:rPr>
              <w:t>636 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32,348</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Comprehensive income (loss):</w:t>
            </w:r>
          </w:p>
        </w:tc>
        <w:tc>
          <w:tcPr>
            <w:tcW w:w="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Pension and post-retirement plan adjustments, net of tax</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8,462</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Foreign currency translation</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(118,635)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(118,635)</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rate derivatives, net of tax</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360"/>
              <w:jc w:val="right"/>
              <w:rPr>
                <w:rFonts w:ascii="Times New Roman;serif" w:hAnsi="Times New Roman;serif"/>
                <w:b/>
                <w:color w:val="000000"/>
                <w:sz w:val="16"/>
              </w:rPr>
            </w:pPr>
            <w:r>
              <w:rPr>
                <w:rFonts w:ascii="Times New Roman;serif" w:hAnsi="Times New Roman;serif"/>
                <w:b/>
                <w:color w:val="000000"/>
                <w:sz w:val="16"/>
              </w:rPr>
              <w:t>(5,396)</w:t>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44,398 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240"/>
              <w:jc w:val="right"/>
              <w:rPr>
                <w:rFonts w:ascii="Times New Roman;serif" w:hAnsi="Times New Roman;serif"/>
                <w:b/>
                <w:color w:val="000000"/>
                <w:sz w:val="16"/>
              </w:rPr>
            </w:pPr>
            <w:r>
              <w:rPr>
                <w:rFonts w:ascii="Times New Roman;serif" w:hAnsi="Times New Roman;serif"/>
                <w:b/>
                <w:color w:val="000000"/>
                <w:sz w:val="16"/>
              </w:rPr>
              <w:t>44,398</w:t>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Balance at December 31, 2024</w:t>
            </w:r>
          </w:p>
        </w:tc>
        <w:tc>
          <w:tcPr>
            <w:tcW w:w="7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283,466</w:t>
            </w:r>
            <w:r>
              <w:rPr>
                <w:color w:val="000000"/>
              </w:rPr>
              <w:t>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2,860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(23,434)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1,243,778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(610,042)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(208,251)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404,911</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 plans</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905 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18,341 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24,762</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Comprehensive income (loss):</w:t>
            </w:r>
          </w:p>
        </w:tc>
        <w:tc>
          <w:tcPr>
            <w:tcW w:w="9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Pension and post-retirement plan adjustments, net of tax</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2,386</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Foreign currency translation</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98,115</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rate derivatives, net of tax</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(2,088)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77,949 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77,949</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at December 31, 2025</w:t>
            </w:r>
          </w:p>
        </w:tc>
        <w:tc>
          <w:tcPr>
            <w:tcW w:w="75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284,371</w:t>
            </w:r>
            <w:r>
              <w:rPr>
                <w:color w:val="000000"/>
              </w:rPr>
              <w:t> </w:t>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2,860</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(17,013)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1,262,119</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(532,093)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(109,838)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606,035</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i/>
          <w:color w:val="000000"/>
          <w:sz w:val="18"/>
        </w:rPr>
      </w:pPr>
      <w:r>
        <w:rPr>
          <w:rFonts w:ascii="Times New Roman;serif" w:hAnsi="Times New Roman;serif"/>
          <w:b w:val="false"/>
          <w:i/>
          <w:color w:val="000000"/>
          <w:sz w:val="18"/>
        </w:rPr>
        <w:t>See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lineRule="auto" w:line="288" w:before="0" w:after="0"/>
        <w:jc w:val="left"/>
        <w:rPr/>
      </w:pPr>
      <w:hyperlink w:anchor="i27c953b2e3004595bc062f37867a09bd_7">
        <w:r>
          <w:rPr>
            <w:rStyle w:val="InternetLink"/>
            <w:rFonts w:ascii="Times New Roman;serif" w:hAnsi="Times New Roman;serif"/>
            <w:b w:val="false"/>
            <w:color w:val="0000FF"/>
            <w:sz w:val="20"/>
            <w:u w:val="single"/>
          </w:rPr>
          <w:t>Table of Contents</w:t>
        </w:r>
      </w:hyperlink>
    </w:p>
    <w:p>
      <w:pPr>
        <w:pStyle w:val="TextBody"/>
        <w:bidi w:val="0"/>
        <w:spacing w:lineRule="auto" w:line="288" w:before="40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Sotera Health Company </w:t>
      </w:r>
    </w:p>
    <w:p>
      <w:pPr>
        <w:pStyle w:val="TextBody"/>
        <w:bidi w:val="0"/>
        <w:spacing w:lineRule="auto" w:line="288" w:before="60" w:after="240"/>
        <w:jc w:val="center"/>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left"/>
        <w:rPr>
          <w:rFonts w:ascii="Times New Roman;serif" w:hAnsi="Times New Roman;serif"/>
          <w:b/>
          <w:color w:val="000000"/>
          <w:sz w:val="20"/>
        </w:rPr>
      </w:pPr>
      <w:r>
        <w:rPr>
          <w:rFonts w:ascii="Times New Roman;serif" w:hAnsi="Times New Roman;serif"/>
          <w:b/>
          <w:color w:val="000000"/>
          <w:sz w:val="20"/>
        </w:rPr>
        <w:t>1.Significant Accounting Policies</w:t>
      </w:r>
    </w:p>
    <w:p>
      <w:pPr>
        <w:pStyle w:val="TextBody"/>
        <w:bidi w:val="0"/>
        <w:spacing w:lineRule="auto" w:line="288" w:before="120" w:after="283"/>
        <w:jc w:val="left"/>
        <w:rPr/>
      </w:pPr>
      <w:r>
        <w:rPr>
          <w:rFonts w:ascii="Times New Roman;serif" w:hAnsi="Times New Roman;serif"/>
          <w:b w:val="false"/>
          <w:i/>
          <w:color w:val="000000"/>
          <w:sz w:val="20"/>
        </w:rPr>
        <w:t>Principles of Consolidation</w:t>
      </w:r>
      <w:r>
        <w:rPr>
          <w:color w:val="000000"/>
        </w:rPr>
        <w:t xml:space="preserve"> – </w:t>
      </w:r>
      <w:r>
        <w:rPr>
          <w:rFonts w:ascii="Times New Roman;serif" w:hAnsi="Times New Roman;serif"/>
          <w:b w:val="false"/>
          <w:color w:val="000000"/>
          <w:sz w:val="20"/>
        </w:rPr>
        <w:t xml:space="preserve">Sotera Health Company (also referred to herein as the “Company,” “we,” “our,” “us” or “its”), is a leading global provider of mission-critical end-to-end sterilization solutions, lab testing and advisory services for the healthcare industry with operations primarily in the Americas, Europe and Asia.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accompanying consolidated financial statements include the assets, liabilities, operating results, and cash flows of the Company and its wholly owned subsidiaries prepared in accordance with U.S. generally accepted accounting principles (“GAAP”).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operate and report in three segments, Sterigenics, Nordion and Nelson Labs. We describe our reportable segments in Note 21, “Segment and Geographic Information.” All intercompany balances and transactions have been eliminated in consolidation. </w:t>
      </w:r>
    </w:p>
    <w:p>
      <w:pPr>
        <w:pStyle w:val="TextBody"/>
        <w:bidi w:val="0"/>
        <w:spacing w:lineRule="auto" w:line="288" w:before="200" w:after="283"/>
        <w:jc w:val="left"/>
        <w:rPr/>
      </w:pPr>
      <w:r>
        <w:rPr>
          <w:rFonts w:ascii="Times New Roman;serif" w:hAnsi="Times New Roman;serif"/>
          <w:b w:val="false"/>
          <w:i/>
          <w:color w:val="000000"/>
          <w:sz w:val="20"/>
        </w:rPr>
        <w:t>Use of Estimates</w:t>
      </w:r>
      <w:r>
        <w:rPr>
          <w:color w:val="000000"/>
        </w:rPr>
        <w:t xml:space="preserve"> – </w:t>
      </w:r>
      <w:r>
        <w:rPr>
          <w:rFonts w:ascii="Times New Roman;serif" w:hAnsi="Times New Roman;serif"/>
          <w:b w:val="false"/>
          <w:color w:val="000000"/>
          <w:sz w:val="20"/>
        </w:rPr>
        <w:t xml:space="preserve">In preparing our consolidated financial statements in conformity with GAAP, we make estimates and assumptions that affect the amounts reported and the accompanying notes. We regularly evaluate the estimates and assumptions used and revise them as new information becomes available. Actual results may vary from those estimates. </w:t>
      </w:r>
    </w:p>
    <w:p>
      <w:pPr>
        <w:pStyle w:val="TextBody"/>
        <w:bidi w:val="0"/>
        <w:spacing w:lineRule="auto" w:line="288" w:before="200" w:after="283"/>
        <w:jc w:val="left"/>
        <w:rPr/>
      </w:pPr>
      <w:r>
        <w:rPr>
          <w:rFonts w:ascii="Times New Roman;serif" w:hAnsi="Times New Roman;serif"/>
          <w:b w:val="false"/>
          <w:i/>
          <w:color w:val="000000"/>
          <w:sz w:val="20"/>
        </w:rPr>
        <w:t>Cash and Cash Equivalents</w:t>
      </w:r>
      <w:r>
        <w:rPr>
          <w:color w:val="000000"/>
        </w:rPr>
        <w:t xml:space="preserve"> – </w:t>
      </w:r>
      <w:r>
        <w:rPr>
          <w:rFonts w:ascii="Times New Roman;serif" w:hAnsi="Times New Roman;serif"/>
          <w:b w:val="false"/>
          <w:color w:val="000000"/>
          <w:sz w:val="20"/>
        </w:rPr>
        <w:t xml:space="preserve">We consider all highly liquid investments purchased with an original maturity of three months or less from the date of purchase to be cash equivalents. Cash and cash equivalents may include various deposit accounts and money market funds. </w:t>
      </w:r>
    </w:p>
    <w:p>
      <w:pPr>
        <w:pStyle w:val="TextBody"/>
        <w:bidi w:val="0"/>
        <w:spacing w:lineRule="auto" w:line="288" w:before="200" w:after="283"/>
        <w:jc w:val="left"/>
        <w:rPr/>
      </w:pPr>
      <w:r>
        <w:rPr>
          <w:rFonts w:ascii="Times New Roman;serif" w:hAnsi="Times New Roman;serif"/>
          <w:b w:val="false"/>
          <w:i/>
          <w:color w:val="000000"/>
          <w:sz w:val="22"/>
        </w:rPr>
        <w:t>A</w:t>
      </w:r>
      <w:r>
        <w:rPr>
          <w:rFonts w:ascii="Times New Roman;serif" w:hAnsi="Times New Roman;serif"/>
          <w:b w:val="false"/>
          <w:i/>
          <w:color w:val="000000"/>
          <w:sz w:val="20"/>
        </w:rPr>
        <w:t xml:space="preserve">ccounts Receivable </w:t>
      </w:r>
      <w:r>
        <w:rPr>
          <w:color w:val="000000"/>
        </w:rPr>
        <w:t xml:space="preserve">– </w:t>
      </w:r>
      <w:r>
        <w:rPr>
          <w:rFonts w:ascii="Times New Roman;serif" w:hAnsi="Times New Roman;serif"/>
          <w:b w:val="false"/>
          <w:color w:val="000000"/>
          <w:sz w:val="20"/>
        </w:rPr>
        <w:t>Accounts receivable consists of amounts billed and currently due from customers. The amounts due are stated net of the allowance for uncollectible accounts. The Company maintains an allowance for uncollectible receivables to provide for the estimated amount of receivables that will not be collected.</w:t>
      </w:r>
    </w:p>
    <w:p>
      <w:pPr>
        <w:pStyle w:val="TextBody"/>
        <w:bidi w:val="0"/>
        <w:spacing w:lineRule="auto" w:line="288" w:before="200" w:after="283"/>
        <w:jc w:val="left"/>
        <w:rPr/>
      </w:pPr>
      <w:r>
        <w:rPr>
          <w:rFonts w:ascii="Times New Roman;serif" w:hAnsi="Times New Roman;serif"/>
          <w:b w:val="false"/>
          <w:i/>
          <w:color w:val="000000"/>
          <w:sz w:val="20"/>
        </w:rPr>
        <w:t xml:space="preserve">Allowance for Uncollectible Accounts Receivable </w:t>
      </w:r>
      <w:r>
        <w:rPr>
          <w:color w:val="000000"/>
        </w:rPr>
        <w:t xml:space="preserve">– </w:t>
      </w:r>
      <w:r>
        <w:rPr>
          <w:rFonts w:ascii="Times New Roman;serif" w:hAnsi="Times New Roman;serif"/>
          <w:b w:val="false"/>
          <w:color w:val="000000"/>
          <w:sz w:val="20"/>
        </w:rPr>
        <w:t>We maintain an allowance for uncollectible accounts receivable for estimated losses in the collection of amounts owed to us by customers. We estimate the allowance based on analyzing a number of factors, including amounts written off historically, customer payment practices, customer financial information and credit ratings, current market conditions as well as the expected future economic conditions that may impact the collection of accounts receivable. We also analyze significant customer accounts on a regular basis and record a specific allowance when we become aware of a specific customer’s inability to pay. We generally do not charge interest on accounts receivable or require collateral from our customers.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We record write-offs against the allowance for uncollectible accounts receivable when all reasonable efforts for collection have been exhausted. As a result, the related accounts receivable are reduced to an amount that we reasonably believe is collectible. These analyses require judgment. If the financial condition of our customers worsens, or economic conditions change, we may be required to make changes to our allowance for uncollectible accounts receivable.</w:t>
      </w:r>
    </w:p>
    <w:p>
      <w:pPr>
        <w:pStyle w:val="TextBody"/>
        <w:bidi w:val="0"/>
        <w:spacing w:lineRule="auto" w:line="288" w:before="240" w:after="283"/>
        <w:jc w:val="left"/>
        <w:rPr/>
      </w:pPr>
      <w:r>
        <w:rPr>
          <w:rFonts w:ascii="Times New Roman;serif" w:hAnsi="Times New Roman;serif"/>
          <w:b w:val="false"/>
          <w:i/>
          <w:color w:val="000000"/>
          <w:sz w:val="20"/>
        </w:rPr>
        <w:t>Inventories</w:t>
      </w:r>
      <w:r>
        <w:rPr>
          <w:color w:val="000000"/>
        </w:rPr>
        <w:t xml:space="preserve"> – </w:t>
      </w:r>
      <w:r>
        <w:rPr>
          <w:rFonts w:ascii="Times New Roman;serif" w:hAnsi="Times New Roman;serif"/>
          <w:b w:val="false"/>
          <w:color w:val="000000"/>
          <w:sz w:val="20"/>
        </w:rPr>
        <w:t>Inventories as of December 31, 2025 and 2024 are held at Nordion. Inventories are stated at the lower of cost or net realizable value. Cost of material, labor, and manufacturing overhead are determined using standard cost, which approximates average cost. We review inventory on an ongoing basis, considering factors such as deterioration and obsolescence. We record a reserve for excess and obsolete inventory, which was immaterial at December 31, 2025 and 2024, when the facts and circumstances indicate that particular inventories will not be usable. If future market conditions vary from those projected, and our estimates prove to be inaccurate, we may be required to write-down inventory values and record an adjustment to cost of revenues.</w:t>
      </w:r>
    </w:p>
    <w:p>
      <w:pPr>
        <w:pStyle w:val="TextBody"/>
        <w:bidi w:val="0"/>
        <w:spacing w:lineRule="auto" w:line="288" w:before="200" w:after="283"/>
        <w:jc w:val="left"/>
        <w:rPr/>
      </w:pPr>
      <w:r>
        <w:rPr>
          <w:rFonts w:ascii="Times New Roman;serif" w:hAnsi="Times New Roman;serif"/>
          <w:b w:val="false"/>
          <w:i/>
          <w:color w:val="000000"/>
          <w:sz w:val="20"/>
        </w:rPr>
        <w:t>Property, Plant, and</w:t>
      </w:r>
      <w:r>
        <w:rPr>
          <w:color w:val="000000"/>
        </w:rPr>
        <w:t xml:space="preserve"> </w:t>
      </w:r>
      <w:r>
        <w:rPr>
          <w:rFonts w:ascii="Times New Roman;serif" w:hAnsi="Times New Roman;serif"/>
          <w:b w:val="false"/>
          <w:i/>
          <w:color w:val="000000"/>
          <w:sz w:val="20"/>
        </w:rPr>
        <w:t>Equipment</w:t>
      </w:r>
      <w:r>
        <w:rPr>
          <w:color w:val="000000"/>
        </w:rPr>
        <w:t xml:space="preserve"> – </w:t>
      </w:r>
      <w:r>
        <w:rPr>
          <w:rFonts w:ascii="Times New Roman;serif" w:hAnsi="Times New Roman;serif"/>
          <w:b w:val="false"/>
          <w:color w:val="000000"/>
          <w:sz w:val="20"/>
        </w:rPr>
        <w:t xml:space="preserve">Property, plant, and equipment is carried at cost, or initially at fair value if acquired in an acquisition, less accumulated depreciation and amortization. Except for Co-60, a radioactive isotope used in gamma radiation sterilization, all property, plant, and equipment depreciation is computed using the straight-line method over estimated useful lives. Leasehold improvements are amortized over their estimated useful lives or the term of the related lease, whichever is shorter. Co-60 is amortized using an accelerated method, which relates to the natural radioactive decay of the isotope over its estimated useful life which is approximately twenty years. Amortization of Co-60 is included within depreciation expense as a cost of revenue. Expenditures for major software purchases and software developed for internal use are capitalized and depreciated using the straight-line method over the estimated useful lives of the related assets, which are generally one to five years. For software obtained or developed for internal use, all external direct costs for materials and services and certain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lineRule="auto" w:line="288" w:before="0" w:after="0"/>
        <w:jc w:val="left"/>
        <w:rPr/>
      </w:pPr>
      <w:hyperlink w:anchor="i27c953b2e3004595bc062f37867a09bd_7">
        <w:r>
          <w:rPr>
            <w:rStyle w:val="InternetLink"/>
            <w:rFonts w:ascii="Times New Roman;serif" w:hAnsi="Times New Roman;serif"/>
            <w:b w:val="false"/>
            <w:color w:val="0000FF"/>
            <w:sz w:val="20"/>
            <w:u w:val="single"/>
          </w:rPr>
          <w:t>Table of Contents</w:t>
        </w:r>
      </w:hyperlink>
    </w:p>
    <w:p>
      <w:pPr>
        <w:pStyle w:val="TextBody"/>
        <w:bidi w:val="0"/>
        <w:spacing w:lineRule="auto" w:line="288" w:before="40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Sotera Health Company </w:t>
      </w:r>
    </w:p>
    <w:p>
      <w:pPr>
        <w:pStyle w:val="TextBody"/>
        <w:bidi w:val="0"/>
        <w:spacing w:lineRule="auto" w:line="288" w:before="60" w:after="240"/>
        <w:jc w:val="center"/>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w:t>
      </w:r>
    </w:p>
    <w:p>
      <w:pPr>
        <w:pStyle w:val="TextBody"/>
        <w:bidi w:val="0"/>
        <w:spacing w:lineRule="auto" w:line="288" w:before="200" w:after="283"/>
        <w:jc w:val="left"/>
        <w:rPr/>
      </w:pPr>
      <w:r>
        <w:rPr>
          <w:rFonts w:ascii="Times New Roman;serif" w:hAnsi="Times New Roman;serif"/>
          <w:b w:val="false"/>
          <w:color w:val="000000"/>
          <w:sz w:val="20"/>
        </w:rPr>
        <w:t>personnel costs incurred to d</w:t>
      </w:r>
      <w:r>
        <w:rPr>
          <w:rFonts w:ascii="Times New Roman;serif" w:hAnsi="Times New Roman;serif"/>
          <w:b w:val="false"/>
          <w:color w:val="000000"/>
          <w:sz w:val="20"/>
          <w:shd w:fill="FFFFFF" w:val="clear"/>
        </w:rPr>
        <w:t>evelop the software during the application development stage are capitalized. At December 31, 2025 and 2024, we had undepreciated software costs of $17.1 million and $11.4 million, respectively, included in property, plant, and equipment, net. We recognized $4.8 million, $4.2 million a</w:t>
      </w:r>
      <w:r>
        <w:rPr>
          <w:rFonts w:ascii="Times New Roman;serif" w:hAnsi="Times New Roman;serif"/>
          <w:b w:val="false"/>
          <w:color w:val="000000"/>
          <w:sz w:val="20"/>
        </w:rPr>
        <w:t xml:space="preserve">nd $3.3 million, of depreciation expense related to software costs for the years ending December 31, 2025, 2024 and 2023, respectively.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Depreciation is computed using the assets’ estimated useful lives as presented below:</w:t>
      </w:r>
    </w:p>
    <w:tbl>
      <w:tblPr>
        <w:tblW w:w="4364" w:type="dxa"/>
        <w:jc w:val="left"/>
        <w:tblInd w:w="0" w:type="dxa"/>
        <w:tblLayout w:type="fixed"/>
        <w:tblCellMar>
          <w:top w:w="28" w:type="dxa"/>
          <w:left w:w="28" w:type="dxa"/>
          <w:bottom w:w="28" w:type="dxa"/>
          <w:right w:w="28" w:type="dxa"/>
        </w:tblCellMar>
      </w:tblPr>
      <w:tblGrid>
        <w:gridCol w:w="1168"/>
        <w:gridCol w:w="1026"/>
        <w:gridCol w:w="1031"/>
        <w:gridCol w:w="333"/>
        <w:gridCol w:w="333"/>
        <w:gridCol w:w="473"/>
      </w:tblGrid>
      <w:tr>
        <w:trPr/>
        <w:tc>
          <w:tcPr>
            <w:tcW w:w="1168"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Buildings and building improvements</w:t>
            </w:r>
          </w:p>
        </w:tc>
        <w:tc>
          <w:tcPr>
            <w:tcW w:w="11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15–44 years</w:t>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Machinery and equipment</w:t>
            </w:r>
          </w:p>
        </w:tc>
        <w:tc>
          <w:tcPr>
            <w:tcW w:w="11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3–30 years</w:t>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11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2–20 years</w:t>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and fixtures</w:t>
            </w:r>
          </w:p>
        </w:tc>
        <w:tc>
          <w:tcPr>
            <w:tcW w:w="11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3–10 years</w:t>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Computer hardware and software</w:t>
            </w:r>
          </w:p>
        </w:tc>
        <w:tc>
          <w:tcPr>
            <w:tcW w:w="11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1–7 years</w:t>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From time to time, we build or expand facilities. The cost of construction of these facilities is reflected as construction-in-progress until the asset is ready for its intended use, at which time the costs are reclassified to the appropriate depreciable category of property, plant, and equipment and depreciation commences. Fixed asset projects requiring one or more years to complete construction qualify for capitalization of interest costs in accordance with our policy. Interest related to property, plant and equipment projects with a construction period of less than one year are not capitalized and are immaterial. Repairs and maintenance costs that do not extend the useful life of an asset are expensed as incurred.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Upon sale or retirement of assets, the cost and related accumulated depreciation is removed from the Consolidated Balance Sheets, and the resulting gain or loss is reflected as a component of operating income. </w:t>
      </w:r>
    </w:p>
    <w:p>
      <w:pPr>
        <w:pStyle w:val="TextBody"/>
        <w:bidi w:val="0"/>
        <w:spacing w:lineRule="auto" w:line="288" w:before="200" w:after="283"/>
        <w:jc w:val="left"/>
        <w:rPr/>
      </w:pPr>
      <w:r>
        <w:rPr>
          <w:rFonts w:ascii="Times New Roman;serif" w:hAnsi="Times New Roman;serif"/>
          <w:b w:val="false"/>
          <w:i/>
          <w:color w:val="000000"/>
          <w:sz w:val="20"/>
        </w:rPr>
        <w:t xml:space="preserve">Leases </w:t>
      </w:r>
      <w:r>
        <w:rPr>
          <w:color w:val="000000"/>
        </w:rPr>
        <w:t xml:space="preserve">– </w:t>
      </w:r>
      <w:r>
        <w:rPr>
          <w:rFonts w:ascii="Times New Roman;serif" w:hAnsi="Times New Roman;serif"/>
          <w:b w:val="false"/>
          <w:color w:val="000000"/>
          <w:sz w:val="20"/>
        </w:rPr>
        <w:t>We determine if an agreement contains a lease and classify our leases as operating or finance at the lease commencement date. Leases with an initial term of twelve months or less are recognized as lease expense on a straight-line basis over the lease term and are not recorded on the Consolidated Balance Sheets. Non-lease components are accounted for separately from the lease components for all asset classes.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Finance leases are those in which we will pay substantially all the underlying asset’s fair value or will use the asset for all or a major part of its economic life, including circumstances in which we will ultimately own the asset. Lease assets arising from finance leases are included in “Property, plant and equipment, net” and the liabilities are included in “Finance lease obligations” on the Consolidated Balance Sheets. For finance leases, we recognize interest expense using the effective interest method and we recognize amortization expense on the lease asset over the shorter of the lease term or the useful life of asset. Finance leases are accounted for as if the assets were owned and financed, with associated expense recognized in “Interest expense, net” and “Cost of revenues” or “Selling, general and administrative expenses” within the Consolidated Statements of Operations and Comprehensive Income (Loss) depending on the nature of the underlying asset.</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Operating lease assets and liabilities are recognized at the commencement date of the lease based on the present value of lease payments over the lease term. Lease assets represent the right to use an underlying asset for the lease term and lease liabilities represent the obligation to make lease payments arising from the lease. As most leases do not provide an implicit interest rate, we estimate an incremental borrowing rate to determine the present value of lease payments. Our estimated incremental borrowing rate reflects a secured rate based on recent debt issuances, our estimated credit rating, and lease term. We recognize operating lease costs on a straight-line basis over the term of the lease in “Cost of revenues” or “Selling, general and administrative expenses” on the Consolidated Statements of Operations and Comprehensive Income (Loss) depending on the nature of the underlying asset.</w:t>
      </w:r>
    </w:p>
    <w:p>
      <w:pPr>
        <w:pStyle w:val="TextBody"/>
        <w:bidi w:val="0"/>
        <w:spacing w:lineRule="auto" w:line="288" w:before="200" w:after="283"/>
        <w:jc w:val="left"/>
        <w:rPr/>
      </w:pPr>
      <w:r>
        <w:rPr>
          <w:rFonts w:ascii="Times New Roman;serif" w:hAnsi="Times New Roman;serif"/>
          <w:b w:val="false"/>
          <w:i/>
          <w:color w:val="000000"/>
          <w:sz w:val="20"/>
        </w:rPr>
        <w:t>Goodwill and Other Indefinite-Lived Intangibles</w:t>
      </w:r>
      <w:r>
        <w:rPr>
          <w:color w:val="000000"/>
        </w:rPr>
        <w:t xml:space="preserve"> – </w:t>
      </w:r>
      <w:r>
        <w:rPr>
          <w:rFonts w:ascii="Times New Roman;serif" w:hAnsi="Times New Roman;serif"/>
          <w:b w:val="false"/>
          <w:color w:val="000000"/>
          <w:sz w:val="20"/>
        </w:rPr>
        <w:t xml:space="preserve">Goodwill and other indefinite-lived intangible assets, primarily certain regulatory licenses and tradenames, are tested for impairment annually as of October 1. If circumstances change during interim periods between annual tests that would indicate that the carrying amount of such assets may not be recoverable, the Company tests such assets at an interim date for impairment. Factors that necessitate an interim impairment assessment include prolonged negative industry or economic trends and significant underperformance relative to historical or projected future operating results.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performed a quantitative assessment of all reporting units (Sterigenics, Nordion and Nelson Labs) as of October 1, 2025. The fair value of each reporting unit was calculated using a discounted cash flow analysis which was dependent on subjective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lineRule="auto" w:line="288" w:before="0" w:after="0"/>
        <w:jc w:val="left"/>
        <w:rPr/>
      </w:pPr>
      <w:hyperlink w:anchor="i27c953b2e3004595bc062f37867a09bd_7">
        <w:r>
          <w:rPr>
            <w:rStyle w:val="InternetLink"/>
            <w:rFonts w:ascii="Times New Roman;serif" w:hAnsi="Times New Roman;serif"/>
            <w:b w:val="false"/>
            <w:color w:val="0000FF"/>
            <w:sz w:val="20"/>
            <w:u w:val="single"/>
          </w:rPr>
          <w:t>Table of Contents</w:t>
        </w:r>
      </w:hyperlink>
    </w:p>
    <w:p>
      <w:pPr>
        <w:pStyle w:val="TextBody"/>
        <w:bidi w:val="0"/>
        <w:spacing w:lineRule="auto" w:line="288" w:before="40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Sotera Health Company </w:t>
      </w:r>
    </w:p>
    <w:p>
      <w:pPr>
        <w:pStyle w:val="TextBody"/>
        <w:bidi w:val="0"/>
        <w:spacing w:lineRule="auto" w:line="288" w:before="60" w:after="240"/>
        <w:jc w:val="center"/>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market participant assumptions determined by management. We further corroborated these discounted cash flow analyses utilizing a market approach to determine the estimated enterprise fair value. Assumptions used in the analyses included discount rates, revenue growth rates and projected operating cash flows. Estimates of future cash flows are based upon relevant data at a point-in-time, are subject to change, and could vary from actual results. The estimated fair value of each reporting unit exceeded its carrying amount by a sufficient margin to support a positive assertion that goodwill is not impaired. We performed a qualitative impairment assessment to evaluate any potential impairment to the indefinite-lived intangible assets. We considered significant events and circumstances that could affect the significant inputs used to determine the estimated fair value of the indefinite-lived intangible assets, and determined, after considering the totality of evidence that it is not more likely than not that the indefinite-lived intangible assets are impaired. There have been no other significant events or circumstances that occurred since the annual assessment date of October 1 that would change the conclusions reached above. </w:t>
      </w:r>
    </w:p>
    <w:p>
      <w:pPr>
        <w:pStyle w:val="TextBody"/>
        <w:bidi w:val="0"/>
        <w:spacing w:lineRule="auto" w:line="288" w:before="200" w:after="283"/>
        <w:jc w:val="left"/>
        <w:rPr/>
      </w:pPr>
      <w:r>
        <w:rPr>
          <w:rFonts w:ascii="Times New Roman;serif" w:hAnsi="Times New Roman;serif"/>
          <w:b w:val="false"/>
          <w:i/>
          <w:color w:val="000000"/>
          <w:sz w:val="20"/>
        </w:rPr>
        <w:t>Derivative Instruments</w:t>
      </w:r>
      <w:r>
        <w:rPr>
          <w:color w:val="000000"/>
        </w:rPr>
        <w:t xml:space="preserve"> – </w:t>
      </w:r>
      <w:r>
        <w:rPr>
          <w:rFonts w:ascii="Times New Roman;serif" w:hAnsi="Times New Roman;serif"/>
          <w:b w:val="false"/>
          <w:color w:val="000000"/>
          <w:sz w:val="20"/>
        </w:rPr>
        <w:t xml:space="preserve">We may enter into derivative instruments and hedging activities to manage, where possible and economically efficient, commodity price risk, foreign currency exchange rate risk and interest rate risk related to borrowings. We also have identified embedded derivatives in certain supply and customer contracts. Certain interest rate derivatives are designated as cash flow hedges allowing for changes in fair value to be recorded through “Other comprehensive income (loss).” Amounts in accumulated other comprehensive income (loss) will be reclassified into earnings in the same periods during which the hedged transaction affects earnings and are presented in “Interest expense, net” within the Consolidated Statements of Operations and Comprehensive Income (Loss). Derivatives not designated as hedges are recorded at fair value on the Consolidated Balance Sheets, with any changes in the value being recorded in the Consolidated Statements of Operations and Comprehensive Income (Loss) in the same line item as the corresponding hedged item. We classify cash flows from derivative instruments and hedging activities as cash flows from operating activities in the Consolidated Statements of Cash Flows. To the extent derivative arrangements are with the same counterparty and contractual right of offset exists under applicable master agreements, we offset assets and liabilities for reporting on the Consolidated Balance Sheets. </w:t>
      </w:r>
    </w:p>
    <w:p>
      <w:pPr>
        <w:pStyle w:val="TextBody"/>
        <w:bidi w:val="0"/>
        <w:spacing w:lineRule="auto" w:line="288" w:before="200" w:after="283"/>
        <w:jc w:val="left"/>
        <w:rPr/>
      </w:pPr>
      <w:r>
        <w:rPr>
          <w:rFonts w:ascii="Times New Roman;serif" w:hAnsi="Times New Roman;serif"/>
          <w:b w:val="false"/>
          <w:i/>
          <w:color w:val="000000"/>
          <w:sz w:val="20"/>
        </w:rPr>
        <w:t xml:space="preserve">Pension, Post-Retirement and Other Post-Employment Benefit Plans – </w:t>
      </w:r>
      <w:r>
        <w:rPr>
          <w:rFonts w:ascii="Times New Roman;serif" w:hAnsi="Times New Roman;serif"/>
          <w:b w:val="false"/>
          <w:color w:val="000000"/>
          <w:sz w:val="20"/>
        </w:rPr>
        <w:t xml:space="preserve">We sponsor a defined-contribution retirement plan that covers substantially all U.S. employees. We also sponsor various post-employment benefit plans at our Nordion business in Canada, including defined benefit and defined contribution pension plans, retirement compensation arrangements and plans that provide extended health care coverage to retired employees. In addition, we provide other benefit plans at our foreign subsidiaries, including a supplemental retirement arrangement, a retirement and termination allowance and post-retirement benefit plans, which include contributory healthcare benefits and contributory life insurance coverage. All non-pension post-employment benefit plans are unfunded.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These costs and obligations are affected by assumptions including the discount rate, the expected long-term rate of return on plan assets, the annual rate of change in compensation for eligible employees, estimated changes in costs of healthcare benefits, and other demographic and economic factors. We review the assumptions used on an annual basis.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We recognize the over/under funded status of defined benefit pension and post-retirement benefits plans in our Consolidated Balance Sheets. This amount is measured as the difference between the fair value of plan assets and the projected benefit obligation (“PBO”). Changes in the funded status of the plans are recorded in other comprehensive income (loss) in the year they occur. We measure plan assets and obligations as of the balance sheet date. We provide additional information about our pension and other post-retirement benefits plans in Note 11, “Employee Benefits.”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Amortization of net gain or loss included in accumulated other comprehensive income (loss) is reclassified to net periodic pension cost if, as of the beginning of the year, that gain or loss exceeds 10% of the greater of the PBO or the market related value of the plan assets (the ‘corridor’). As most of the plan’s participants are no longer actively accruing benefits, the average remaining life expectancy is used.</w:t>
      </w:r>
    </w:p>
    <w:p>
      <w:pPr>
        <w:pStyle w:val="TextBody"/>
        <w:bidi w:val="0"/>
        <w:spacing w:lineRule="auto" w:line="288" w:before="200" w:after="283"/>
        <w:jc w:val="left"/>
        <w:rPr/>
      </w:pPr>
      <w:r>
        <w:rPr>
          <w:rFonts w:ascii="Times New Roman;serif" w:hAnsi="Times New Roman;serif"/>
          <w:b w:val="false"/>
          <w:i/>
          <w:color w:val="000000"/>
          <w:sz w:val="20"/>
        </w:rPr>
        <w:t>Asset Retirement Obligations (“ARO”)</w:t>
      </w:r>
      <w:r>
        <w:rPr>
          <w:color w:val="000000"/>
        </w:rPr>
        <w:t xml:space="preserve"> – </w:t>
      </w:r>
      <w:r>
        <w:rPr>
          <w:rFonts w:ascii="Times New Roman;serif" w:hAnsi="Times New Roman;serif"/>
          <w:b w:val="false"/>
          <w:color w:val="000000"/>
          <w:sz w:val="20"/>
        </w:rPr>
        <w:t xml:space="preserve">ARO are legal obligations associated with the retirement of long-lived assets or the exit of a leased facility. We recognize a liability for an ARO in the period in which it is incurred if a reasonable estimate of fair value can be made, and the associated asset retirement costs are then capitalized as part of the carrying amount of the long-lived asset. We lease various facilities where sterilization and ionization services are performed. Under the lease agreements, we are required to return the facilities to their original condition and to perform decommissioning activities. In addition, certain of our owned facilities are required to be decommissioned when we vacate the facility. Accretion expense is recognized in “Cost of Revenues” in the Consolidated Statements of Operations and Comprehensive Income (Loss) over time as the discounted liability is accreted to its expected settlement value.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lineRule="auto" w:line="288" w:before="0" w:after="0"/>
        <w:jc w:val="left"/>
        <w:rPr/>
      </w:pPr>
      <w:hyperlink w:anchor="i27c953b2e3004595bc062f37867a09bd_7">
        <w:r>
          <w:rPr>
            <w:rStyle w:val="InternetLink"/>
            <w:rFonts w:ascii="Times New Roman;serif" w:hAnsi="Times New Roman;serif"/>
            <w:b w:val="false"/>
            <w:color w:val="0000FF"/>
            <w:sz w:val="20"/>
            <w:u w:val="single"/>
          </w:rPr>
          <w:t>Table of Contents</w:t>
        </w:r>
      </w:hyperlink>
    </w:p>
    <w:p>
      <w:pPr>
        <w:pStyle w:val="TextBody"/>
        <w:bidi w:val="0"/>
        <w:spacing w:lineRule="auto" w:line="288" w:before="40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Sotera Health Company </w:t>
      </w:r>
    </w:p>
    <w:p>
      <w:pPr>
        <w:pStyle w:val="TextBody"/>
        <w:bidi w:val="0"/>
        <w:spacing w:lineRule="auto" w:line="288" w:before="60" w:after="240"/>
        <w:jc w:val="center"/>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w:t>
      </w:r>
    </w:p>
    <w:p>
      <w:pPr>
        <w:pStyle w:val="TextBody"/>
        <w:bidi w:val="0"/>
        <w:spacing w:lineRule="auto" w:line="288" w:before="240" w:after="283"/>
        <w:jc w:val="left"/>
        <w:rPr/>
      </w:pPr>
      <w:r>
        <w:rPr>
          <w:rFonts w:ascii="Times New Roman;serif" w:hAnsi="Times New Roman;serif"/>
          <w:b w:val="false"/>
          <w:i/>
          <w:color w:val="000000"/>
          <w:sz w:val="20"/>
        </w:rPr>
        <w:t>Debt Issuance Costs, Premiums and Discounts</w:t>
      </w:r>
      <w:r>
        <w:rPr>
          <w:color w:val="000000"/>
        </w:rPr>
        <w:t xml:space="preserve"> – </w:t>
      </w:r>
      <w:r>
        <w:rPr>
          <w:rFonts w:ascii="Times New Roman;serif" w:hAnsi="Times New Roman;serif"/>
          <w:b w:val="false"/>
          <w:color w:val="000000"/>
          <w:sz w:val="20"/>
        </w:rPr>
        <w:t xml:space="preserve">We have incurred costs in connection with obtaining financing as well as premiums and discounts associated with our long-term debt. The portion of these fees that are capitalized are recorded as a reduction of debt on the Consolidated Balance Sheets and amortized into interest expense over the term of the debt agreement. Debt issuance costs associated with the Company’s revolving credit facilities are classified as assets unless there are outstanding borrowings under such arrangements. </w:t>
      </w:r>
    </w:p>
    <w:p>
      <w:pPr>
        <w:pStyle w:val="TextBody"/>
        <w:bidi w:val="0"/>
        <w:spacing w:lineRule="auto" w:line="288" w:before="240" w:after="283"/>
        <w:jc w:val="left"/>
        <w:rPr/>
      </w:pPr>
      <w:r>
        <w:rPr>
          <w:rFonts w:ascii="Times New Roman;serif" w:hAnsi="Times New Roman;serif"/>
          <w:b w:val="false"/>
          <w:i/>
          <w:color w:val="000000"/>
          <w:sz w:val="20"/>
        </w:rPr>
        <w:t>Concentration of Credit Risk, Other Risks and Uncertainties</w:t>
      </w:r>
      <w:r>
        <w:rPr>
          <w:color w:val="000000"/>
        </w:rPr>
        <w:t xml:space="preserve"> – </w:t>
      </w:r>
      <w:r>
        <w:rPr>
          <w:rFonts w:ascii="Times New Roman;serif" w:hAnsi="Times New Roman;serif"/>
          <w:b w:val="false"/>
          <w:color w:val="000000"/>
          <w:sz w:val="20"/>
        </w:rPr>
        <w:t xml:space="preserve">We maintain cash and cash equivalents in the form of demand deposits in accounts with major financial institutions in the U.S. and in countries where our subsidiaries operate. Deposits in these institutions may exceed amounts of insurance provided on such accounts. We have not experienced any losses on our deposits of cash and cash equivalents.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net revenues and accounts receivable are derived from customers located primarily in North America and Europe. </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No customer accounted for 10% or more of accounts receivable at December 31, 2025 and 2024, or 10% or more of net revenues for the years ended December 31, 2025, 2024 and 2023.</w:t>
      </w:r>
    </w:p>
    <w:p>
      <w:pPr>
        <w:pStyle w:val="TextBody"/>
        <w:bidi w:val="0"/>
        <w:spacing w:lineRule="auto" w:line="288" w:before="200" w:after="283"/>
        <w:jc w:val="left"/>
        <w:rPr/>
      </w:pPr>
      <w:r>
        <w:rPr>
          <w:rFonts w:ascii="Times New Roman;serif" w:hAnsi="Times New Roman;serif"/>
          <w:b w:val="false"/>
          <w:i/>
          <w:color w:val="000000"/>
          <w:sz w:val="20"/>
        </w:rPr>
        <w:t>Income Taxes</w:t>
      </w:r>
      <w:r>
        <w:rPr>
          <w:color w:val="000000"/>
        </w:rPr>
        <w:t xml:space="preserve"> – </w:t>
      </w:r>
      <w:r>
        <w:rPr>
          <w:rFonts w:ascii="Times New Roman;serif" w:hAnsi="Times New Roman;serif"/>
          <w:b w:val="false"/>
          <w:color w:val="000000"/>
          <w:sz w:val="20"/>
        </w:rPr>
        <w:t>We use the liability method of accounting for income taxes whereby we recognize deferred tax assets and liabilities for the future tax consequences of temporary differences between the tax bases of assets and liabilities and their reported amounts in the consolidated financial statements. Deferred tax assets will be reduced by a valuation allowance if, based on management’s estimate, it is more likely than not that a portion of the deferred tax assets will not be realized in a future period. The estimates used in the recognition of deferred tax assets are subject to revision in future periods based on new facts and circumstances.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We determine whether it is more likely than not that a tax position will be sustained upon examination, including resolution of related appeals or litigation processes, based on the technical merits of the position. In evaluating whether a tax position has met the more-likely-than-not recognition threshold, we presume that the position will be examined by the appropriate taxing authority and that the taxing authority will have full knowledge of all relevant information. A tax position that meets the more-likely-than-not recognition threshold is measured at the largest amount of benefit that is greater than 50% likely of being realized upon ultimate settlement. Determining what constitutes an individual tax position and whether the more-likely-than-not recognition threshold is met for a tax position are matters of judgment based on the individual facts and circumstances of that position evaluated in light of all available evidence. We review and adjust tax estimates periodically because of ongoing examinations by, and settlements with, the various taxing authorities, as well as changes in tax laws, regulations, and precedent. We are subject to a tax on global intangible low taxed income (“GILTI”) which we record as a period cost.</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policy is to recognize interest and penalties related to income tax matters as a component of the provision for income taxes in our Consolidated Statements of Operations and Comprehensive Income (Loss). </w:t>
      </w:r>
    </w:p>
    <w:p>
      <w:pPr>
        <w:pStyle w:val="TextBody"/>
        <w:bidi w:val="0"/>
        <w:spacing w:lineRule="auto" w:line="288" w:before="200" w:after="283"/>
        <w:jc w:val="left"/>
        <w:rPr/>
      </w:pPr>
      <w:r>
        <w:rPr>
          <w:rFonts w:ascii="Times New Roman;serif" w:hAnsi="Times New Roman;serif"/>
          <w:b w:val="false"/>
          <w:i/>
          <w:color w:val="000000"/>
          <w:sz w:val="20"/>
        </w:rPr>
        <w:t>Foreign Currency Translation</w:t>
      </w:r>
      <w:r>
        <w:rPr>
          <w:color w:val="000000"/>
        </w:rPr>
        <w:t xml:space="preserve"> – </w:t>
      </w:r>
      <w:r>
        <w:rPr>
          <w:rFonts w:ascii="Times New Roman;serif" w:hAnsi="Times New Roman;serif"/>
          <w:b w:val="false"/>
          <w:color w:val="000000"/>
          <w:sz w:val="20"/>
        </w:rPr>
        <w:t xml:space="preserve">The functional currency of our foreign subsidiaries is generally the local currency. Accordingly, assets and liabilities are generally translated into U.S. dollars at the current rates of exchange as of the balance sheet date, and revenues and expenses are translated using weighted-average rates prevailing during the period. Adjustments from foreign currency translation are included as a separate component of accumulated other comprehensive income (loss). </w:t>
      </w:r>
    </w:p>
    <w:p>
      <w:pPr>
        <w:pStyle w:val="TextBody"/>
        <w:bidi w:val="0"/>
        <w:spacing w:lineRule="auto" w:line="288" w:before="200" w:after="283"/>
        <w:jc w:val="left"/>
        <w:rPr/>
      </w:pPr>
      <w:r>
        <w:rPr>
          <w:rFonts w:ascii="Times New Roman;serif" w:hAnsi="Times New Roman;serif"/>
          <w:b w:val="false"/>
          <w:color w:val="000000"/>
          <w:sz w:val="20"/>
        </w:rPr>
        <w:t>Gains or losses arising from foreign currency transactions are recognized in the Consolidated Statements of Operations and Comprehensive Income (Loss) as foreign exchange loss (gain). The Company routinely enters into foreign currency forward contracts to manage foreign currency exchange rate risk of our intercompany loans in certain of our international subsidiaries and non-functional currency assets and liabilities. The foreign currency forward contracts expire on a monthly basis.</w:t>
      </w:r>
      <w:r>
        <w:rPr>
          <w:color w:val="000000"/>
          <w:shd w:fill="FFFFFF" w:val="clear"/>
        </w:rPr>
        <w:t xml:space="preserve"> </w:t>
      </w:r>
      <w:r>
        <w:rPr>
          <w:rFonts w:ascii="Times New Roman;serif" w:hAnsi="Times New Roman;serif"/>
          <w:b w:val="false"/>
          <w:color w:val="000000"/>
          <w:sz w:val="20"/>
          <w:shd w:fill="FFFFFF" w:val="clear"/>
        </w:rPr>
        <w:t xml:space="preserve">For the </w:t>
      </w:r>
      <w:r>
        <w:rPr>
          <w:rFonts w:ascii="Times New Roman;serif" w:hAnsi="Times New Roman;serif"/>
          <w:b w:val="false"/>
          <w:color w:val="000000"/>
          <w:sz w:val="20"/>
        </w:rPr>
        <w:t>years ended December 31, 2025, 2024 and 2023,</w:t>
      </w:r>
      <w:r>
        <w:rPr>
          <w:color w:val="000000"/>
          <w:shd w:fill="FFFFFF" w:val="clear"/>
        </w:rPr>
        <w:t xml:space="preserve"> </w:t>
      </w:r>
      <w:r>
        <w:rPr>
          <w:rFonts w:ascii="Times New Roman;serif" w:hAnsi="Times New Roman;serif"/>
          <w:b w:val="false"/>
          <w:color w:val="000000"/>
          <w:sz w:val="20"/>
          <w:shd w:fill="FFFFFF" w:val="clear"/>
        </w:rPr>
        <w:t>foreign exchange loss related primarily to short-term losses (offset by short-term gains) on sales denominated in currencies other than the functional currency of our operating entities.</w:t>
      </w:r>
    </w:p>
    <w:p>
      <w:pPr>
        <w:pStyle w:val="TextBody"/>
        <w:bidi w:val="0"/>
        <w:spacing w:lineRule="auto" w:line="288" w:before="200" w:after="283"/>
        <w:jc w:val="left"/>
        <w:rPr/>
      </w:pPr>
      <w:r>
        <w:rPr>
          <w:rFonts w:ascii="Times New Roman;serif" w:hAnsi="Times New Roman;serif"/>
          <w:b w:val="false"/>
          <w:i/>
          <w:color w:val="000000"/>
          <w:sz w:val="20"/>
        </w:rPr>
        <w:t>Revenue Recognition</w:t>
      </w:r>
      <w:r>
        <w:rPr>
          <w:color w:val="000000"/>
        </w:rPr>
        <w:t xml:space="preserve"> – </w:t>
      </w:r>
      <w:r>
        <w:rPr>
          <w:rFonts w:ascii="Times New Roman;serif" w:hAnsi="Times New Roman;serif"/>
          <w:b w:val="false"/>
          <w:color w:val="000000"/>
          <w:sz w:val="20"/>
        </w:rPr>
        <w:t xml:space="preserve">Revenue is recognized when control of promised goods or services is transferred to customers in an amount that reflects the consideration to which the Company expects to be entitled in exchange for those goods or services. The majority of our sales agreements contain performance obligations satisfied at a point-in-time when control of promised goods or services have transferred to our customers. Sales recognized over time are generally accounted for using an input measure to determine progress completed as of the end of the period.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lineRule="auto" w:line="288" w:before="0" w:after="0"/>
        <w:jc w:val="left"/>
        <w:rPr/>
      </w:pPr>
      <w:hyperlink w:anchor="i27c953b2e3004595bc062f37867a09bd_7">
        <w:r>
          <w:rPr>
            <w:rStyle w:val="InternetLink"/>
            <w:rFonts w:ascii="Times New Roman;serif" w:hAnsi="Times New Roman;serif"/>
            <w:b w:val="false"/>
            <w:color w:val="0000FF"/>
            <w:sz w:val="20"/>
            <w:u w:val="single"/>
          </w:rPr>
          <w:t>Table of Contents</w:t>
        </w:r>
      </w:hyperlink>
    </w:p>
    <w:p>
      <w:pPr>
        <w:pStyle w:val="TextBody"/>
        <w:bidi w:val="0"/>
        <w:spacing w:lineRule="auto" w:line="288" w:before="40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Sotera Health Company </w:t>
      </w:r>
    </w:p>
    <w:p>
      <w:pPr>
        <w:pStyle w:val="TextBody"/>
        <w:bidi w:val="0"/>
        <w:spacing w:lineRule="auto" w:line="288" w:before="60" w:after="240"/>
        <w:jc w:val="center"/>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Refunds, returns, warranties and other related obligations are not material to any of our segments and we do not incur material incremental costs to secure customer contracts.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Sterigenics segment provides outsourced terminal sterilization and irradiation services for the medical device, pharmaceutical, food safety and advanced applications markets. We typically have multiyear service contracts with our significant customers, and these sales contracts are primarily based on customers’ purchase orders. Given the relatively short turnaround times, performance obligations are generally satisfied at a point-in-time upon the completion of sterilization or irradiation processing and approval by our quality assurance process. Sterigenics segment revenues are included in service revenues in our Consolidated Statements of Operations and Comprehensive Income (Loss).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Our Nordion segment is a global provider of Co-60 and gamma irradiation systems, which are key components to the gamma sterilization process. Revenue from the sale of Co-60 sources is recognized as product revenue at a point-in-time upon satisfaction of our performance obligations for delivery of existing sources. Revenue from the sale of gamma irradiation systems is recognized as product revenue over time using an input measure of costs incurred and is immaterial to the overall business. Revenues from Co-60 installation and disposal and gamma irradiation systems refurbishments and installations are recognized as service revenue.</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Nelson Labs segment provides outsourced microbiological and analytical chemistry testing and advisory services for the medical device and pharmaceutical industries. We provide our customers mission-critical lab testing services, which assess the product quality, effectiveness, patient safety and end-to-end sterility of products. These services are necessary for our customers’ regulatory approvals, product releases and ongoing product performance evaluations. Nelson Labs services are generally provided on a fee-for-service or project basis, and we recognize revenues over time using an input measure of time incurred to determine progress completed at the end of the period. Nelson Labs segment revenues are included in service revenues in our Consolidated Statements of Operations and Comprehensive Income (Loss).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We do not capitalize sales commissions because substantially all of our sales commission programs have an amortization period of one year or less. Furthermore, costs to fulfill a contract are not material.</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Provisions for discounts, rebates to customers, and other adjustments are provided for as reductions in net revenues in the period the related sale is recorded. Shipping and handling charges billed to customers are included in net revenues, and the related shipping and handling costs are included in “Cost of Revenues” on the Consolidated Statements of Operations and Comprehensive Income (Loss). Taxes assessed by a governmental authority that are both imposed on and concurrent with a specific revenue-producing transaction, that are collected by us from a customer, are excluded from net revenue.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Payment terms vary by the type and location of the customer and the products or services offered. Generally, the time between when revenue is recognized and when payment is due is not significant. We do not evaluate whether the selling price contains a financing component for contracts that have a duration of less than one year. </w:t>
      </w:r>
    </w:p>
    <w:p>
      <w:pPr>
        <w:pStyle w:val="TextBody"/>
        <w:bidi w:val="0"/>
        <w:spacing w:lineRule="auto" w:line="288" w:before="200" w:after="283"/>
        <w:jc w:val="left"/>
        <w:rPr/>
      </w:pPr>
      <w:r>
        <w:rPr>
          <w:rFonts w:ascii="Times New Roman;serif" w:hAnsi="Times New Roman;serif"/>
          <w:b w:val="false"/>
          <w:i/>
          <w:color w:val="000000"/>
          <w:sz w:val="20"/>
        </w:rPr>
        <w:t>Share-Based Compensation</w:t>
      </w:r>
      <w:r>
        <w:rPr>
          <w:color w:val="000000"/>
        </w:rPr>
        <w:t xml:space="preserve"> – </w:t>
      </w:r>
      <w:r>
        <w:rPr>
          <w:rFonts w:ascii="Times New Roman;serif" w:hAnsi="Times New Roman;serif"/>
          <w:b w:val="false"/>
          <w:color w:val="000000"/>
          <w:sz w:val="20"/>
        </w:rPr>
        <w:t>Equity-based awards issued to employees under the Sotera Health Company 2020 Omnibus Incentive Plan (“2020 Plan”) include restricted stock units (“RSUs”), performance stock units (“PSUs”) and stock options that vest over time.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Prior to our initial public offering (the “IPO” as described in Note 14, “Stockholders' Equity”), equity-based awards were issued to employees and non-employee directors in the form of partnership interests in our predecessor, Sotera Health Topco Parent, L.P. (“Topco Parent”), which vested based on either time (“time vesting awards”) or the achievement of certain performance and market conditions (“performance awards” and, together with the time vesting awards, the “pre-IPO awards”). In connection with the IPO, Topco Parent made in-kind distributions of restricted shares of our common stock to holders of pre-IPO awards as described in Note 14, “Stockholders' Equity.” The restricted shares of our common stock distributed in respect of pre-IPO time vesting awards vested through August 2025; expense related to these unvested awards was recognized over the remaining vesting period. Expense attributable to the performance awards was recognized in its entirety in the year ended December 31, 2020 as the related performance conditions were considered probable of achievement and the implied service condition was met.</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Share-based compensation expense is recognized in the Consolidated Statements of Operations and Comprehensive Income (Loss) within “Selling, general and administrative expenses” at the grant date fair value over the requisite service period (one to three years for awards granted under the 2020 Plan and five years for time vesting pre-IPO awards on a straight-line basis). We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v:textbox>
                <w10:wrap type="none"/>
              </v:rect>
            </w:pict>
          </mc:Fallback>
        </mc:AlternateContent>
      </w:r>
    </w:p>
    <w:p>
      <w:pPr>
        <w:pStyle w:val="TextBody"/>
        <w:bidi w:val="0"/>
        <w:spacing w:lineRule="auto" w:line="288" w:before="0" w:after="0"/>
        <w:jc w:val="left"/>
        <w:rPr/>
      </w:pPr>
      <w:hyperlink w:anchor="i27c953b2e3004595bc062f37867a09bd_7">
        <w:r>
          <w:rPr>
            <w:rStyle w:val="InternetLink"/>
            <w:rFonts w:ascii="Times New Roman;serif" w:hAnsi="Times New Roman;serif"/>
            <w:b w:val="false"/>
            <w:color w:val="0000FF"/>
            <w:sz w:val="20"/>
            <w:u w:val="single"/>
          </w:rPr>
          <w:t>Table of Contents</w:t>
        </w:r>
      </w:hyperlink>
    </w:p>
    <w:p>
      <w:pPr>
        <w:pStyle w:val="TextBody"/>
        <w:bidi w:val="0"/>
        <w:spacing w:lineRule="auto" w:line="288" w:before="40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Sotera Health Company </w:t>
      </w:r>
    </w:p>
    <w:p>
      <w:pPr>
        <w:pStyle w:val="TextBody"/>
        <w:bidi w:val="0"/>
        <w:spacing w:lineRule="auto" w:line="288" w:before="60" w:after="240"/>
        <w:jc w:val="center"/>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use the Black-Scholes option pricing model to measure the grant date fair value of stock options awarded under the 2020 Plan using certain valuation assumptions. Certain RSUs and PSUs contain a performance modifier based on the achievement of growth targets of the market value of the Company’s common stock price. The fair value of these awards is estimated using a Monte Carlo simulation valuation model, as these awards are subject to a market condition. Share-based compensation expense for all awards recognizes forfeitures as they occur.</w:t>
      </w:r>
    </w:p>
    <w:p>
      <w:pPr>
        <w:pStyle w:val="TextBody"/>
        <w:bidi w:val="0"/>
        <w:spacing w:lineRule="auto" w:line="288" w:before="240" w:after="283"/>
        <w:jc w:val="left"/>
        <w:rPr/>
      </w:pPr>
      <w:r>
        <w:rPr>
          <w:rFonts w:ascii="Times New Roman;serif" w:hAnsi="Times New Roman;serif"/>
          <w:b w:val="false"/>
          <w:i/>
          <w:color w:val="000000"/>
          <w:sz w:val="20"/>
        </w:rPr>
        <w:t xml:space="preserve">Earnings Per Share </w:t>
      </w:r>
      <w:r>
        <w:rPr>
          <w:color w:val="000000"/>
        </w:rPr>
        <w:t xml:space="preserve">– </w:t>
      </w:r>
      <w:r>
        <w:rPr>
          <w:rFonts w:ascii="Times New Roman;serif" w:hAnsi="Times New Roman;serif"/>
          <w:b w:val="false"/>
          <w:color w:val="000000"/>
          <w:sz w:val="20"/>
        </w:rPr>
        <w:t>In periods in which the Company has net income, earnings per share information is determined using the two-class method, which includes the weighted-average number of common shares outstanding during the period and securities that participate in dividends (“participating securities”). Our unvested restricted common stock distributed in respect of partnership interests in Topco Parent (“pre-IPO Class B-1 restricted stock awards”) has the right to receive non-forfeitable dividends or dividend equivalents if the Company declares dividends on its common stock. Under the two-class method, earnings are allocated to both common stock shares and participating securities based on their respective weighted-average shares outstanding for the period. Diluted earnings per common share incorporates the dilutive effect of common stock equivalents on an average basis during the period, if dilutive, in which case the dilutive effect of such securities is calculated using the more dilutive of (a) the two-class method, or (b) treasury stock method, as applicable, to the potentially dilutive instruments. Unvested restricted common stock is not included in the weighted average common shares outstanding figure within earnings per share until the period in which the vesting condition is satisfied. In periods in which the Company has a net loss, the two-class method is not applicable because the pre-IPO Class B-1 restricted stock awards do not participate in losses. Refer to Note 16, “Earnings Per Share” for additional information.</w:t>
      </w:r>
    </w:p>
    <w:p>
      <w:pPr>
        <w:pStyle w:val="TextBody"/>
        <w:bidi w:val="0"/>
        <w:spacing w:lineRule="auto" w:line="288" w:before="240" w:after="283"/>
        <w:jc w:val="left"/>
        <w:rPr/>
      </w:pPr>
      <w:r>
        <w:rPr>
          <w:rFonts w:ascii="Times New Roman;serif" w:hAnsi="Times New Roman;serif"/>
          <w:b w:val="false"/>
          <w:i/>
          <w:color w:val="000000"/>
          <w:sz w:val="20"/>
          <w:shd w:fill="FFFFFF" w:val="clear"/>
        </w:rPr>
        <w:t>Treasury Stock</w:t>
      </w:r>
      <w:r>
        <w:rPr>
          <w:color w:val="000000"/>
          <w:shd w:fill="FFFFFF" w:val="clear"/>
        </w:rPr>
        <w:t xml:space="preserve"> – </w:t>
      </w:r>
      <w:r>
        <w:rPr>
          <w:rFonts w:ascii="Times New Roman;serif" w:hAnsi="Times New Roman;serif"/>
          <w:b w:val="false"/>
          <w:color w:val="000000"/>
          <w:sz w:val="20"/>
          <w:shd w:fill="FFFFFF" w:val="clear"/>
        </w:rPr>
        <w:t xml:space="preserve">The Company records repurchases of its own common stock at cost. Repurchased common stock is presented as a reduction of equity in the </w:t>
      </w:r>
      <w:r>
        <w:rPr>
          <w:rFonts w:ascii="Times New Roman;serif" w:hAnsi="Times New Roman;serif"/>
          <w:b w:val="false"/>
          <w:color w:val="000000"/>
          <w:sz w:val="20"/>
        </w:rPr>
        <w:t>Consolidated Balance Sheets</w:t>
      </w:r>
      <w:r>
        <w:rPr>
          <w:rFonts w:ascii="Times New Roman;serif" w:hAnsi="Times New Roman;serif"/>
          <w:b w:val="false"/>
          <w:color w:val="000000"/>
          <w:sz w:val="20"/>
          <w:shd w:fill="FFFFFF" w:val="clear"/>
        </w:rPr>
        <w:t>. The difference between the repurchase and reissue price of the Company’s own stock is added to or deducted from additional paid-in capital.</w:t>
      </w:r>
      <w:r>
        <w:rPr>
          <w:color w:val="000000"/>
        </w:rPr>
        <w:t xml:space="preserve"> </w:t>
      </w:r>
      <w:r>
        <w:rPr>
          <w:rFonts w:ascii="Times New Roman;serif" w:hAnsi="Times New Roman;serif"/>
          <w:b w:val="false"/>
          <w:color w:val="000000"/>
          <w:sz w:val="20"/>
        </w:rPr>
        <w:t>The cost of treasury stock reissued is calculated using a weighted average cost method.</w:t>
      </w:r>
    </w:p>
    <w:p>
      <w:pPr>
        <w:pStyle w:val="TextBody"/>
        <w:bidi w:val="0"/>
        <w:spacing w:lineRule="auto" w:line="288" w:before="240" w:after="283"/>
        <w:jc w:val="left"/>
        <w:rPr/>
      </w:pPr>
      <w:r>
        <w:rPr>
          <w:rFonts w:ascii="Times New Roman;serif" w:hAnsi="Times New Roman;serif"/>
          <w:b w:val="false"/>
          <w:i/>
          <w:color w:val="000000"/>
          <w:sz w:val="20"/>
        </w:rPr>
        <w:t>Commitments and Contingencies</w:t>
      </w:r>
      <w:r>
        <w:rPr>
          <w:color w:val="000000"/>
        </w:rPr>
        <w:t xml:space="preserve"> – </w:t>
      </w:r>
      <w:r>
        <w:rPr>
          <w:rFonts w:ascii="Times New Roman;serif" w:hAnsi="Times New Roman;serif"/>
          <w:b w:val="false"/>
          <w:color w:val="000000"/>
          <w:sz w:val="20"/>
        </w:rPr>
        <w:t>Certain conditions may exist as of the date of the consolidated financial statements which may result in a loss to the Company but will only be resolved when one or more future events occur or fail to occur. Such liabilities for loss contingencies arising from claims, assessments, litigation, fines, penalties, settlement agreements, and other sources, are recorded when management assesses that it is probable that a future liability has been incurred and the amount can be reasonably estimated. Recoveries of costs from third parties, which management assesses as being probable of realization, are recorded to the extent related contingent liabilities are accrued. Legal costs incurred in connection with matters relating to contingencies are expensed in the period incurred. We record gain contingencies when realized.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36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2.Recent Accounting Standards</w:t>
      </w:r>
    </w:p>
    <w:p>
      <w:pPr>
        <w:pStyle w:val="TextBody"/>
        <w:bidi w:val="0"/>
        <w:spacing w:lineRule="auto" w:line="288" w:before="200" w:after="283"/>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Adoption of Accounting Standard Updates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In the year ended December 31, 2025, we adopted Accounting Standards Update (“ASU”) 2023-09-Income Taxes (Topic 740): Improvements to Income Tax Disclosures. The amendments in this ASU require entities to disclose, on an annual basis, specific categories in the reconciliation of the provision (benefit) for income taxes to the statutory rate and provide additional information for reconciling items that meet a quantitative threshold. Additionally, the ASU requires entities to disclose a disaggregation of taxes paid by category (federal, state and foreign taxes) as well as individual jurisdictions.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ASUs Issued But Not Yet Adopted</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In November 2024, the FASB issued ASU 2024-03-Income Statement-Reporting Comprehensive Income-Expense Disaggregation Disclosures (Subtopic 220-40): Disaggregation of Income Statement Expenses. The amendments in this ASU requires entities to disaggregate certain expense captions into specified categories in disclosures within the footnotes to the financial statements. In January 2025, the FASB issued ASU 2025-01, which revises the effective date of ASU 2024-03 and clarifies that entities are required to adopt the guidance in annual reporting periods beginning after December 15, 2026, and interim periods within annual reporting periods beginning after December 15, 2027. The Company expects that this ASU will increase disclosures in the annual and interim periods when adopted.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v:textbox>
                <w10:wrap type="none"/>
              </v:rect>
            </w:pict>
          </mc:Fallback>
        </mc:AlternateContent>
      </w:r>
    </w:p>
    <w:p>
      <w:pPr>
        <w:pStyle w:val="TextBody"/>
        <w:bidi w:val="0"/>
        <w:spacing w:lineRule="auto" w:line="288" w:before="0" w:after="0"/>
        <w:jc w:val="left"/>
        <w:rPr/>
      </w:pPr>
      <w:hyperlink w:anchor="i27c953b2e3004595bc062f37867a09bd_7">
        <w:r>
          <w:rPr>
            <w:rStyle w:val="InternetLink"/>
            <w:rFonts w:ascii="Times New Roman;serif" w:hAnsi="Times New Roman;serif"/>
            <w:b w:val="false"/>
            <w:color w:val="0000FF"/>
            <w:sz w:val="20"/>
            <w:u w:val="single"/>
          </w:rPr>
          <w:t>Table of Contents</w:t>
        </w:r>
      </w:hyperlink>
    </w:p>
    <w:p>
      <w:pPr>
        <w:pStyle w:val="TextBody"/>
        <w:bidi w:val="0"/>
        <w:spacing w:lineRule="auto" w:line="288" w:before="40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Sotera Health Company </w:t>
      </w:r>
    </w:p>
    <w:p>
      <w:pPr>
        <w:pStyle w:val="TextBody"/>
        <w:bidi w:val="0"/>
        <w:spacing w:lineRule="auto" w:line="288" w:before="60" w:after="240"/>
        <w:jc w:val="center"/>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w:t>
      </w:r>
    </w:p>
    <w:p>
      <w:pPr>
        <w:pStyle w:val="TextBody"/>
        <w:bidi w:val="0"/>
        <w:spacing w:lineRule="auto" w:line="288" w:before="360" w:after="283"/>
        <w:ind w:left="0" w:right="0" w:hanging="360"/>
        <w:jc w:val="left"/>
        <w:rPr>
          <w:rFonts w:ascii="Times New Roman;serif" w:hAnsi="Times New Roman;serif"/>
          <w:b/>
          <w:color w:val="000000"/>
          <w:sz w:val="20"/>
        </w:rPr>
      </w:pPr>
      <w:r>
        <w:rPr>
          <w:rFonts w:ascii="Times New Roman;serif" w:hAnsi="Times New Roman;serif"/>
          <w:b/>
          <w:color w:val="000000"/>
          <w:sz w:val="20"/>
        </w:rPr>
        <w:t>3.Revenue Recognition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shows disaggregated net revenues from contracts with external customers by timing of revenue and by segment for the years ended December 31, 2025, 2024 and 2023:</w:t>
      </w:r>
    </w:p>
    <w:tbl>
      <w:tblPr>
        <w:tblW w:w="7019" w:type="dxa"/>
        <w:jc w:val="left"/>
        <w:tblInd w:w="0" w:type="dxa"/>
        <w:tblLayout w:type="fixed"/>
        <w:tblCellMar>
          <w:top w:w="28" w:type="dxa"/>
          <w:left w:w="28" w:type="dxa"/>
          <w:bottom w:w="28" w:type="dxa"/>
          <w:right w:w="28" w:type="dxa"/>
        </w:tblCellMar>
      </w:tblPr>
      <w:tblGrid>
        <w:gridCol w:w="435"/>
        <w:gridCol w:w="380"/>
        <w:gridCol w:w="384"/>
        <w:gridCol w:w="211"/>
        <w:gridCol w:w="841"/>
        <w:gridCol w:w="109"/>
        <w:gridCol w:w="109"/>
        <w:gridCol w:w="109"/>
        <w:gridCol w:w="109"/>
        <w:gridCol w:w="211"/>
        <w:gridCol w:w="841"/>
        <w:gridCol w:w="109"/>
        <w:gridCol w:w="109"/>
        <w:gridCol w:w="109"/>
        <w:gridCol w:w="109"/>
        <w:gridCol w:w="211"/>
        <w:gridCol w:w="841"/>
        <w:gridCol w:w="109"/>
        <w:gridCol w:w="109"/>
        <w:gridCol w:w="109"/>
        <w:gridCol w:w="109"/>
        <w:gridCol w:w="211"/>
        <w:gridCol w:w="991"/>
        <w:gridCol w:w="154"/>
      </w:tblGrid>
      <w:tr>
        <w:trPr/>
        <w:tc>
          <w:tcPr>
            <w:tcW w:w="435"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 2025</w:t>
            </w:r>
          </w:p>
        </w:tc>
      </w:tr>
      <w:tr>
        <w:trPr/>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Sterigenics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Nordion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Nelson Labs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Consolidated</w:t>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Point in time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755,780 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182,822 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938,602 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Over time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220,219 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225,015 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755,780</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187,618</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220,219</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1,163,617</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019" w:type="dxa"/>
        <w:jc w:val="left"/>
        <w:tblInd w:w="0" w:type="dxa"/>
        <w:tblLayout w:type="fixed"/>
        <w:tblCellMar>
          <w:top w:w="28" w:type="dxa"/>
          <w:left w:w="28" w:type="dxa"/>
          <w:bottom w:w="28" w:type="dxa"/>
          <w:right w:w="28" w:type="dxa"/>
        </w:tblCellMar>
      </w:tblPr>
      <w:tblGrid>
        <w:gridCol w:w="435"/>
        <w:gridCol w:w="380"/>
        <w:gridCol w:w="384"/>
        <w:gridCol w:w="211"/>
        <w:gridCol w:w="841"/>
        <w:gridCol w:w="109"/>
        <w:gridCol w:w="109"/>
        <w:gridCol w:w="109"/>
        <w:gridCol w:w="109"/>
        <w:gridCol w:w="211"/>
        <w:gridCol w:w="841"/>
        <w:gridCol w:w="109"/>
        <w:gridCol w:w="109"/>
        <w:gridCol w:w="109"/>
        <w:gridCol w:w="109"/>
        <w:gridCol w:w="211"/>
        <w:gridCol w:w="841"/>
        <w:gridCol w:w="109"/>
        <w:gridCol w:w="109"/>
        <w:gridCol w:w="109"/>
        <w:gridCol w:w="109"/>
        <w:gridCol w:w="211"/>
        <w:gridCol w:w="991"/>
        <w:gridCol w:w="154"/>
      </w:tblGrid>
      <w:tr>
        <w:trPr/>
        <w:tc>
          <w:tcPr>
            <w:tcW w:w="435"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 2024</w:t>
            </w:r>
          </w:p>
        </w:tc>
      </w:tr>
      <w:tr>
        <w:trPr/>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Sterigenics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Nordion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Nelson Labs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Consolidated</w:t>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Point in time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697,853 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171,285 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869,138 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Over time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229,233 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231,303 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697,853</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173,355</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229,233</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1,100,441</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019" w:type="dxa"/>
        <w:jc w:val="left"/>
        <w:tblInd w:w="0" w:type="dxa"/>
        <w:tblLayout w:type="fixed"/>
        <w:tblCellMar>
          <w:top w:w="28" w:type="dxa"/>
          <w:left w:w="28" w:type="dxa"/>
          <w:bottom w:w="28" w:type="dxa"/>
          <w:right w:w="28" w:type="dxa"/>
        </w:tblCellMar>
      </w:tblPr>
      <w:tblGrid>
        <w:gridCol w:w="435"/>
        <w:gridCol w:w="380"/>
        <w:gridCol w:w="384"/>
        <w:gridCol w:w="211"/>
        <w:gridCol w:w="841"/>
        <w:gridCol w:w="109"/>
        <w:gridCol w:w="109"/>
        <w:gridCol w:w="109"/>
        <w:gridCol w:w="109"/>
        <w:gridCol w:w="211"/>
        <w:gridCol w:w="841"/>
        <w:gridCol w:w="109"/>
        <w:gridCol w:w="109"/>
        <w:gridCol w:w="109"/>
        <w:gridCol w:w="109"/>
        <w:gridCol w:w="211"/>
        <w:gridCol w:w="841"/>
        <w:gridCol w:w="109"/>
        <w:gridCol w:w="109"/>
        <w:gridCol w:w="109"/>
        <w:gridCol w:w="109"/>
        <w:gridCol w:w="211"/>
        <w:gridCol w:w="991"/>
        <w:gridCol w:w="154"/>
      </w:tblGrid>
      <w:tr>
        <w:trPr/>
        <w:tc>
          <w:tcPr>
            <w:tcW w:w="435"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 2023</w:t>
            </w:r>
          </w:p>
        </w:tc>
      </w:tr>
      <w:tr>
        <w:trPr/>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Sterigenics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Nordion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Nelson Labs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Consolidated</w:t>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Point in time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667,130 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153,747 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820,877 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Over time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221,699 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228,411 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667,130</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160,459</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221,699</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1,049,288</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When we receive consideration from a customer prior to transferring goods or services under the terms of a sales contract, we record deferred revenue, which represents a contract liability. Deferred revenue totaled $18.0 million and $15.1 million at December 31, 2025 and 2024, respectively. We recognize deferred revenue after we have transferred control of the goods or services to the customer and all revenue recognition criteria are met.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360"/>
        <w:jc w:val="left"/>
        <w:rPr>
          <w:rFonts w:ascii="Times New Roman;serif" w:hAnsi="Times New Roman;serif"/>
          <w:b/>
          <w:color w:val="000000"/>
          <w:sz w:val="20"/>
        </w:rPr>
      </w:pPr>
      <w:r>
        <w:rPr>
          <w:rFonts w:ascii="Times New Roman;serif" w:hAnsi="Times New Roman;serif"/>
          <w:b/>
          <w:color w:val="000000"/>
          <w:sz w:val="20"/>
        </w:rPr>
        <w:t>4.Inventories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Inventories consisted of the following:</w:t>
      </w:r>
    </w:p>
    <w:tbl>
      <w:tblPr>
        <w:tblW w:w="5993" w:type="dxa"/>
        <w:jc w:val="left"/>
        <w:tblInd w:w="0" w:type="dxa"/>
        <w:tblLayout w:type="fixed"/>
        <w:tblCellMar>
          <w:top w:w="28" w:type="dxa"/>
          <w:left w:w="28" w:type="dxa"/>
          <w:bottom w:w="28" w:type="dxa"/>
          <w:right w:w="28" w:type="dxa"/>
        </w:tblCellMar>
      </w:tblPr>
      <w:tblGrid>
        <w:gridCol w:w="1277"/>
        <w:gridCol w:w="1122"/>
        <w:gridCol w:w="1125"/>
        <w:gridCol w:w="211"/>
        <w:gridCol w:w="736"/>
        <w:gridCol w:w="109"/>
        <w:gridCol w:w="109"/>
        <w:gridCol w:w="109"/>
        <w:gridCol w:w="109"/>
        <w:gridCol w:w="211"/>
        <w:gridCol w:w="721"/>
        <w:gridCol w:w="154"/>
      </w:tblGrid>
      <w:tr>
        <w:trPr/>
        <w:tc>
          <w:tcPr>
            <w:tcW w:w="1277"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(thousands of U.S. dollars)</w:t>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As of December 31,</w:t>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Raw materials and supplies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45,569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42,408 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Work-in-process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2,436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6,622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54,627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49,376 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Reserve for excess and obsolete inventory</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Inventories,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54,375</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49,158 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v:textbox>
                <w10:wrap type="none"/>
              </v:rect>
            </w:pict>
          </mc:Fallback>
        </mc:AlternateContent>
      </w:r>
    </w:p>
    <w:p>
      <w:pPr>
        <w:pStyle w:val="TextBody"/>
        <w:bidi w:val="0"/>
        <w:spacing w:lineRule="auto" w:line="288" w:before="0" w:after="0"/>
        <w:jc w:val="left"/>
        <w:rPr/>
      </w:pPr>
      <w:hyperlink w:anchor="i27c953b2e3004595bc062f37867a09bd_7">
        <w:r>
          <w:rPr>
            <w:rStyle w:val="InternetLink"/>
            <w:rFonts w:ascii="Times New Roman;serif" w:hAnsi="Times New Roman;serif"/>
            <w:b w:val="false"/>
            <w:color w:val="0000FF"/>
            <w:sz w:val="20"/>
            <w:u w:val="single"/>
          </w:rPr>
          <w:t>Table of Contents</w:t>
        </w:r>
      </w:hyperlink>
    </w:p>
    <w:p>
      <w:pPr>
        <w:pStyle w:val="TextBody"/>
        <w:bidi w:val="0"/>
        <w:spacing w:lineRule="auto" w:line="288" w:before="40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Sotera Health Company </w:t>
      </w:r>
    </w:p>
    <w:p>
      <w:pPr>
        <w:pStyle w:val="TextBody"/>
        <w:bidi w:val="0"/>
        <w:spacing w:lineRule="auto" w:line="288" w:before="60" w:after="240"/>
        <w:jc w:val="center"/>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w:t>
      </w:r>
    </w:p>
    <w:p>
      <w:pPr>
        <w:pStyle w:val="TextBody"/>
        <w:bidi w:val="0"/>
        <w:spacing w:lineRule="auto" w:line="288" w:before="360" w:after="283"/>
        <w:ind w:left="0" w:right="0" w:hanging="360"/>
        <w:jc w:val="left"/>
        <w:rPr>
          <w:rFonts w:ascii="Times New Roman;serif" w:hAnsi="Times New Roman;serif"/>
          <w:b/>
          <w:color w:val="000000"/>
          <w:sz w:val="20"/>
        </w:rPr>
      </w:pPr>
      <w:r>
        <w:rPr>
          <w:rFonts w:ascii="Times New Roman;serif" w:hAnsi="Times New Roman;serif"/>
          <w:b/>
          <w:color w:val="000000"/>
          <w:sz w:val="20"/>
        </w:rPr>
        <w:t>5.Prepaid Expenses and Other Current Assets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 consisted of the following:</w:t>
      </w:r>
    </w:p>
    <w:tbl>
      <w:tblPr>
        <w:tblW w:w="6098" w:type="dxa"/>
        <w:jc w:val="left"/>
        <w:tblInd w:w="0" w:type="dxa"/>
        <w:tblLayout w:type="fixed"/>
        <w:tblCellMar>
          <w:top w:w="28" w:type="dxa"/>
          <w:left w:w="28" w:type="dxa"/>
          <w:bottom w:w="28" w:type="dxa"/>
          <w:right w:w="28" w:type="dxa"/>
        </w:tblCellMar>
      </w:tblPr>
      <w:tblGrid>
        <w:gridCol w:w="1316"/>
        <w:gridCol w:w="1154"/>
        <w:gridCol w:w="1159"/>
        <w:gridCol w:w="211"/>
        <w:gridCol w:w="736"/>
        <w:gridCol w:w="109"/>
        <w:gridCol w:w="109"/>
        <w:gridCol w:w="109"/>
        <w:gridCol w:w="109"/>
        <w:gridCol w:w="211"/>
        <w:gridCol w:w="721"/>
        <w:gridCol w:w="154"/>
      </w:tblGrid>
      <w:tr>
        <w:trPr/>
        <w:tc>
          <w:tcPr>
            <w:tcW w:w="1316"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(thousands of U.S. dollars)</w:t>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As of December 31,</w:t>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taxes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5,212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business insurance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3,974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rent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4,466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contract assets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24,410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deposits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maintenance contracts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490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Value added tax receivable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4,527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software licensing</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2,661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supplies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5,012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Embedded derivatives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1,162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13,053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Prepaid expenses and other current assets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65,250</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51,031 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360"/>
        <w:jc w:val="left"/>
        <w:rPr>
          <w:rFonts w:ascii="Times New Roman;serif" w:hAnsi="Times New Roman;serif"/>
          <w:b/>
          <w:color w:val="000000"/>
          <w:sz w:val="20"/>
        </w:rPr>
      </w:pPr>
      <w:r>
        <w:rPr>
          <w:rFonts w:ascii="Times New Roman;serif" w:hAnsi="Times New Roman;serif"/>
          <w:b/>
          <w:color w:val="000000"/>
          <w:sz w:val="20"/>
        </w:rPr>
        <w:t>6.Property, Plant and Equipment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 consisted of the following:</w:t>
      </w:r>
    </w:p>
    <w:tbl>
      <w:tblPr>
        <w:tblW w:w="6384" w:type="dxa"/>
        <w:jc w:val="left"/>
        <w:tblInd w:w="0" w:type="dxa"/>
        <w:tblLayout w:type="fixed"/>
        <w:tblCellMar>
          <w:top w:w="28" w:type="dxa"/>
          <w:left w:w="28" w:type="dxa"/>
          <w:bottom w:w="28" w:type="dxa"/>
          <w:right w:w="28" w:type="dxa"/>
        </w:tblCellMar>
      </w:tblPr>
      <w:tblGrid>
        <w:gridCol w:w="1234"/>
        <w:gridCol w:w="1083"/>
        <w:gridCol w:w="1088"/>
        <w:gridCol w:w="211"/>
        <w:gridCol w:w="991"/>
        <w:gridCol w:w="109"/>
        <w:gridCol w:w="109"/>
        <w:gridCol w:w="109"/>
        <w:gridCol w:w="109"/>
        <w:gridCol w:w="211"/>
        <w:gridCol w:w="976"/>
        <w:gridCol w:w="154"/>
      </w:tblGrid>
      <w:tr>
        <w:trPr/>
        <w:tc>
          <w:tcPr>
            <w:tcW w:w="1234"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(thousands of U.S. dollars)</w:t>
            </w:r>
          </w:p>
        </w:tc>
        <w:tc>
          <w:tcPr>
            <w:tcW w:w="1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As of December 31,</w:t>
            </w:r>
          </w:p>
        </w:tc>
        <w:tc>
          <w:tcPr>
            <w:tcW w:w="13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 and buildings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470,905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418,038 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128,313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98,028 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Machinery, equipment, including Co-60</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853,195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757,568 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and fixtures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9,472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Computer hardware and software</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72,694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 retirement costs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7,925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Construction-in-progress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259,919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250,418 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1,802,423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1,599,305 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(671,859)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(562,413)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Property, plant and equipment,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1,130,564</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1,036,892 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pPr>
      <w:r>
        <w:rPr>
          <w:rFonts w:ascii="Times New Roman;serif" w:hAnsi="Times New Roman;serif"/>
          <w:b w:val="false"/>
          <w:color w:val="000000"/>
          <w:sz w:val="20"/>
        </w:rPr>
        <w:t>Depreciation and amortization expense for property, plant, and equipment, including property under finance leases, was $94.9 million, $84.3 million and $76.6 million for the years ended December 31, 2025, 2024 and 2023, respectively. Capitalized interest totaled</w:t>
      </w:r>
      <w:r>
        <w:rPr>
          <w:color w:val="000000"/>
          <w:shd w:fill="FFFFFF" w:val="clear"/>
        </w:rPr>
        <w:t xml:space="preserve"> </w:t>
      </w:r>
      <w:r>
        <w:rPr>
          <w:rFonts w:ascii="Times New Roman;serif" w:hAnsi="Times New Roman;serif"/>
          <w:b w:val="false"/>
          <w:color w:val="000000"/>
          <w:sz w:val="20"/>
        </w:rPr>
        <w:t>$12.6 million, $16.2 million and $12.2 million for the years ended December 31, 2025, 2024 and 2023, respectively, and was recorded as a reduction in “Interest expense, net” in the Consolidated Statements of Operations and Comprehensive Income (Loss).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v:textbox>
                <w10:wrap type="none"/>
              </v:rect>
            </w:pict>
          </mc:Fallback>
        </mc:AlternateContent>
      </w:r>
    </w:p>
    <w:p>
      <w:pPr>
        <w:pStyle w:val="TextBody"/>
        <w:bidi w:val="0"/>
        <w:spacing w:lineRule="auto" w:line="288" w:before="0" w:after="0"/>
        <w:jc w:val="left"/>
        <w:rPr/>
      </w:pPr>
      <w:hyperlink w:anchor="i27c953b2e3004595bc062f37867a09bd_7">
        <w:r>
          <w:rPr>
            <w:rStyle w:val="InternetLink"/>
            <w:rFonts w:ascii="Times New Roman;serif" w:hAnsi="Times New Roman;serif"/>
            <w:b w:val="false"/>
            <w:color w:val="0000FF"/>
            <w:sz w:val="20"/>
            <w:u w:val="single"/>
          </w:rPr>
          <w:t>Table of Contents</w:t>
        </w:r>
      </w:hyperlink>
    </w:p>
    <w:p>
      <w:pPr>
        <w:pStyle w:val="TextBody"/>
        <w:bidi w:val="0"/>
        <w:spacing w:lineRule="auto" w:line="288" w:before="40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Sotera Health Company </w:t>
      </w:r>
    </w:p>
    <w:p>
      <w:pPr>
        <w:pStyle w:val="TextBody"/>
        <w:bidi w:val="0"/>
        <w:spacing w:lineRule="auto" w:line="288" w:before="60" w:after="240"/>
        <w:jc w:val="center"/>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w:t>
      </w:r>
    </w:p>
    <w:p>
      <w:pPr>
        <w:pStyle w:val="TextBody"/>
        <w:bidi w:val="0"/>
        <w:spacing w:lineRule="auto" w:line="288" w:before="240" w:after="283"/>
        <w:ind w:left="0" w:right="0" w:hanging="360"/>
        <w:jc w:val="left"/>
        <w:rPr>
          <w:rFonts w:ascii="Times New Roman;serif" w:hAnsi="Times New Roman;serif"/>
          <w:b/>
          <w:color w:val="000000"/>
          <w:sz w:val="20"/>
        </w:rPr>
      </w:pPr>
      <w:r>
        <w:rPr>
          <w:rFonts w:ascii="Times New Roman;serif" w:hAnsi="Times New Roman;serif"/>
          <w:b/>
          <w:color w:val="000000"/>
          <w:sz w:val="20"/>
        </w:rPr>
        <w:t>7.Goodwill and Other Intangible Assets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Changes to goodwill during the years ended December 31, 2025 and 2024 were as follows:</w:t>
      </w:r>
    </w:p>
    <w:tbl>
      <w:tblPr>
        <w:tblW w:w="9824" w:type="dxa"/>
        <w:jc w:val="left"/>
        <w:tblInd w:w="0" w:type="dxa"/>
        <w:tblLayout w:type="fixed"/>
        <w:tblCellMar>
          <w:top w:w="28" w:type="dxa"/>
          <w:left w:w="28" w:type="dxa"/>
          <w:bottom w:w="28" w:type="dxa"/>
          <w:right w:w="28" w:type="dxa"/>
        </w:tblCellMar>
      </w:tblPr>
      <w:tblGrid>
        <w:gridCol w:w="1451"/>
        <w:gridCol w:w="1275"/>
        <w:gridCol w:w="1278"/>
        <w:gridCol w:w="211"/>
        <w:gridCol w:w="841"/>
        <w:gridCol w:w="109"/>
        <w:gridCol w:w="109"/>
        <w:gridCol w:w="109"/>
        <w:gridCol w:w="109"/>
        <w:gridCol w:w="211"/>
        <w:gridCol w:w="841"/>
        <w:gridCol w:w="109"/>
        <w:gridCol w:w="109"/>
        <w:gridCol w:w="109"/>
        <w:gridCol w:w="109"/>
        <w:gridCol w:w="211"/>
        <w:gridCol w:w="841"/>
        <w:gridCol w:w="109"/>
        <w:gridCol w:w="109"/>
        <w:gridCol w:w="109"/>
        <w:gridCol w:w="109"/>
        <w:gridCol w:w="211"/>
        <w:gridCol w:w="991"/>
        <w:gridCol w:w="154"/>
      </w:tblGrid>
      <w:tr>
        <w:trPr/>
        <w:tc>
          <w:tcPr>
            <w:tcW w:w="1451"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(thousands of U.S. dollars)</w:t>
            </w:r>
          </w:p>
        </w:tc>
        <w:tc>
          <w:tcPr>
            <w:tcW w:w="116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Sterigenics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Nordion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Nelson Labs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at January 1, 2024</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659,888 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276,929 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174,373 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1,111,190 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Changes due to foreign currency exchange rates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(30,117)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at December 31, 2024</w:t>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653,222 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255,485 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172,366 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1,081,073 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Changes due to foreign currency exchange rates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22,159 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Goodwill at December 31, 2025</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658,919</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267,771</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176,542</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1,103,232</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intangible assets consisted of the following: </w:t>
      </w:r>
    </w:p>
    <w:tbl>
      <w:tblPr>
        <w:tblW w:w="6108" w:type="dxa"/>
        <w:jc w:val="left"/>
        <w:tblInd w:w="0" w:type="dxa"/>
        <w:tblLayout w:type="fixed"/>
        <w:tblCellMar>
          <w:top w:w="28" w:type="dxa"/>
          <w:left w:w="28" w:type="dxa"/>
          <w:bottom w:w="28" w:type="dxa"/>
          <w:right w:w="28" w:type="dxa"/>
        </w:tblCellMar>
      </w:tblPr>
      <w:tblGrid>
        <w:gridCol w:w="1207"/>
        <w:gridCol w:w="1060"/>
        <w:gridCol w:w="1062"/>
        <w:gridCol w:w="226"/>
        <w:gridCol w:w="902"/>
        <w:gridCol w:w="118"/>
        <w:gridCol w:w="109"/>
        <w:gridCol w:w="109"/>
        <w:gridCol w:w="109"/>
        <w:gridCol w:w="211"/>
        <w:gridCol w:w="841"/>
        <w:gridCol w:w="154"/>
      </w:tblGrid>
      <w:tr>
        <w:trPr/>
        <w:tc>
          <w:tcPr>
            <w:tcW w:w="1207"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6"/>
              </w:rPr>
            </w:pPr>
            <w:r>
              <w:rPr>
                <w:rFonts w:ascii="Times New Roman;serif" w:hAnsi="Times New Roman;serif"/>
                <w:b w:val="false"/>
                <w:i/>
                <w:color w:val="000000"/>
                <w:sz w:val="16"/>
              </w:rPr>
              <w:t>(thousands of U.S. dollars)</w:t>
            </w:r>
          </w:p>
        </w:tc>
        <w:tc>
          <w:tcPr>
            <w:tcW w:w="1246"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Gross Carrying</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Accumulated</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Amortization</w:t>
            </w:r>
          </w:p>
        </w:tc>
      </w:tr>
      <w:tr>
        <w:trPr/>
        <w:tc>
          <w:tcPr>
            <w:tcW w:w="33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As of December 31, 2025</w:t>
            </w:r>
          </w:p>
        </w:tc>
        <w:tc>
          <w:tcPr>
            <w:tcW w:w="12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Finite-lived intangible assets</w:t>
            </w:r>
          </w:p>
        </w:tc>
        <w:tc>
          <w:tcPr>
            <w:tcW w:w="12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167,313</w:t>
            </w: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84,083</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Proprietary technology</w:t>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37,775</w:t>
            </w: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19,253</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names</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2,400</w:t>
            </w: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2,000</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Land-use rights</w:t>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8,861</w:t>
            </w: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2,313</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Sealed source and supply agreements</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168,740</w:t>
            </w: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91,405</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900</w:t>
            </w: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790</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Total finite-lived intangible assets</w:t>
            </w:r>
          </w:p>
        </w:tc>
        <w:tc>
          <w:tcPr>
            <w:tcW w:w="11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385,989</w:t>
            </w:r>
            <w:r>
              <w:rPr>
                <w:color w:val="000000"/>
              </w:rPr>
              <w:t>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199,844</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Indefinite-lived intangible assets</w:t>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Regulatory licenses and other</w:t>
            </w:r>
            <w:r>
              <w:rPr>
                <w:rFonts w:ascii="Times New Roman;serif" w:hAnsi="Times New Roman;serif"/>
                <w:b w:val="false"/>
                <w:color w:val="000000"/>
                <w:sz w:val="13"/>
              </w:rPr>
              <w:t>(a)</w:t>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76,064</w:t>
            </w: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names / trademarks</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26,018</w:t>
            </w: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Total indefinite-lived intangible assets</w:t>
            </w:r>
          </w:p>
        </w:tc>
        <w:tc>
          <w:tcPr>
            <w:tcW w:w="11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102,082</w:t>
            </w:r>
            <w:r>
              <w:rPr>
                <w:color w:val="000000"/>
              </w:rPr>
              <w:t>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Total</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488,071</w:t>
            </w:r>
            <w:r>
              <w:rPr>
                <w:color w:val="000000"/>
              </w:rPr>
              <w:t>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199,844</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6143" w:type="dxa"/>
        <w:jc w:val="left"/>
        <w:tblInd w:w="0" w:type="dxa"/>
        <w:tblLayout w:type="fixed"/>
        <w:tblCellMar>
          <w:top w:w="28" w:type="dxa"/>
          <w:left w:w="28" w:type="dxa"/>
          <w:bottom w:w="28" w:type="dxa"/>
          <w:right w:w="28" w:type="dxa"/>
        </w:tblCellMar>
      </w:tblPr>
      <w:tblGrid>
        <w:gridCol w:w="1204"/>
        <w:gridCol w:w="1060"/>
        <w:gridCol w:w="1065"/>
        <w:gridCol w:w="211"/>
        <w:gridCol w:w="976"/>
        <w:gridCol w:w="109"/>
        <w:gridCol w:w="109"/>
        <w:gridCol w:w="109"/>
        <w:gridCol w:w="109"/>
        <w:gridCol w:w="211"/>
        <w:gridCol w:w="826"/>
        <w:gridCol w:w="154"/>
      </w:tblGrid>
      <w:tr>
        <w:trPr/>
        <w:tc>
          <w:tcPr>
            <w:tcW w:w="1204"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As of December 31, 2024</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Gross Carrying</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Accumulated</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Amortization</w:t>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Finite-lived intangible assets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646,965 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537,871 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Proprietary technology</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names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Land-use rights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Sealed source and supply agreements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192,630 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110,668 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Total finite-lived intangible assets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928,427 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708,829 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Indefinite-lived intangible assets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Regulatory licenses and other</w:t>
            </w:r>
            <w:r>
              <w:rPr>
                <w:rFonts w:ascii="Times New Roman;serif" w:hAnsi="Times New Roman;serif"/>
                <w:b w:val="false"/>
                <w:color w:val="000000"/>
                <w:sz w:val="13"/>
              </w:rPr>
              <w:t>(a)</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names / trademarks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Total indefinite-lived intangible assets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98,055 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1,026,482 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708,829 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0"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v:textbox>
                <w10:wrap type="none"/>
              </v:rect>
            </w:pict>
          </mc:Fallback>
        </mc:AlternateContent>
      </w:r>
    </w:p>
    <w:p>
      <w:pPr>
        <w:pStyle w:val="TextBody"/>
        <w:bidi w:val="0"/>
        <w:spacing w:lineRule="auto" w:line="288" w:before="0" w:after="0"/>
        <w:jc w:val="left"/>
        <w:rPr/>
      </w:pPr>
      <w:hyperlink w:anchor="i27c953b2e3004595bc062f37867a09bd_7">
        <w:r>
          <w:rPr>
            <w:rStyle w:val="InternetLink"/>
            <w:rFonts w:ascii="Times New Roman;serif" w:hAnsi="Times New Roman;serif"/>
            <w:b w:val="false"/>
            <w:color w:val="0000FF"/>
            <w:sz w:val="20"/>
            <w:u w:val="single"/>
          </w:rPr>
          <w:t>Table of Contents</w:t>
        </w:r>
      </w:hyperlink>
    </w:p>
    <w:p>
      <w:pPr>
        <w:pStyle w:val="TextBody"/>
        <w:bidi w:val="0"/>
        <w:spacing w:lineRule="auto" w:line="288" w:before="40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Sotera Health Company </w:t>
      </w:r>
    </w:p>
    <w:p>
      <w:pPr>
        <w:pStyle w:val="TextBody"/>
        <w:bidi w:val="0"/>
        <w:spacing w:lineRule="auto" w:line="288" w:before="60" w:after="240"/>
        <w:jc w:val="center"/>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w:t>
      </w:r>
    </w:p>
    <w:p>
      <w:pPr>
        <w:pStyle w:val="TextBody"/>
        <w:bidi w:val="0"/>
        <w:spacing w:lineRule="auto" w:line="288" w:before="120" w:after="283"/>
        <w:ind w:left="0" w:right="0" w:hanging="270"/>
        <w:jc w:val="left"/>
        <w:rPr/>
      </w:pPr>
      <w:r>
        <w:rPr>
          <w:rFonts w:ascii="Times New Roman;serif" w:hAnsi="Times New Roman;serif"/>
          <w:b w:val="false"/>
          <w:color w:val="000000"/>
          <w:sz w:val="13"/>
        </w:rPr>
        <w:t>(a)</w:t>
      </w:r>
      <w:r>
        <w:rPr>
          <w:rFonts w:ascii="Times New Roman;serif" w:hAnsi="Times New Roman;serif"/>
          <w:b w:val="false"/>
          <w:color w:val="000000"/>
          <w:sz w:val="20"/>
        </w:rPr>
        <w:t>Includes certain transportation certifications, a class 1B nuclear license and other intangibles related to obtaining such licensure. These assets are considered indefinite-lived as the decision for renewal by the CNSC is highly based on a licensee’s previous assessments, reported incidents, and annual compliance and inspection results. New applications for license can take a significant amount of time and cost; whereas an existing licensee with a historical record of compliance and current operating conditions is generally expected to obtain renewal, as Nordion has demonstrated over its 75 years of history. In September 2025, the CNSC renewed Nordion’s Class 1B nuclear license for a 25-year term.</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Amounts include the impact of foreign currency translation. Fully amortized amounts are written off.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Amortization expense for finite-lived intangible assets was $41.8 million, $79.4 million and $81.3 million for the years ended December 31, 2025, 2024 and 2023, respectively. $30.7 million, $62.0 million, and $63.8 million was included in “Amortization of intangible assets” in the Consolidated Statements of Operations and Comprehensive Income (Loss) for the years ended December 31, 2025, 2024 and 2023, whereas the remainder was included in “Cost of revenues.”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estimated aggregate amortization expense for finite-lived intangible assets for each of the next five years and thereafter is as follows:</w:t>
      </w:r>
    </w:p>
    <w:tbl>
      <w:tblPr>
        <w:tblW w:w="3201" w:type="dxa"/>
        <w:jc w:val="left"/>
        <w:tblInd w:w="0" w:type="dxa"/>
        <w:tblLayout w:type="fixed"/>
        <w:tblCellMar>
          <w:top w:w="28" w:type="dxa"/>
          <w:left w:w="28" w:type="dxa"/>
          <w:bottom w:w="28" w:type="dxa"/>
          <w:right w:w="28" w:type="dxa"/>
        </w:tblCellMar>
      </w:tblPr>
      <w:tblGrid>
        <w:gridCol w:w="723"/>
        <w:gridCol w:w="635"/>
        <w:gridCol w:w="637"/>
        <w:gridCol w:w="211"/>
        <w:gridCol w:w="841"/>
        <w:gridCol w:w="154"/>
      </w:tblGrid>
      <w:tr>
        <w:trPr/>
        <w:tc>
          <w:tcPr>
            <w:tcW w:w="723"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(thousands of U.S. dollars)</w:t>
            </w:r>
          </w:p>
        </w:tc>
        <w:tc>
          <w:tcPr>
            <w:tcW w:w="1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22,161</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21,084</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20,537</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20,427</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20,427</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81,509</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186,145</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weighted-average remaining amortization periods of the finite-lived intangible assets by major intangible asset class as of December 31, 2025 were as follows:</w:t>
      </w:r>
    </w:p>
    <w:tbl>
      <w:tblPr>
        <w:tblW w:w="7514" w:type="dxa"/>
        <w:jc w:val="left"/>
        <w:tblInd w:w="0" w:type="dxa"/>
        <w:tblLayout w:type="fixed"/>
        <w:tblCellMar>
          <w:top w:w="28" w:type="dxa"/>
          <w:left w:w="28" w:type="dxa"/>
          <w:bottom w:w="28" w:type="dxa"/>
          <w:right w:w="28" w:type="dxa"/>
        </w:tblCellMar>
      </w:tblPr>
      <w:tblGrid>
        <w:gridCol w:w="1133"/>
        <w:gridCol w:w="996"/>
        <w:gridCol w:w="1006"/>
        <w:gridCol w:w="1281"/>
        <w:gridCol w:w="1281"/>
        <w:gridCol w:w="1817"/>
      </w:tblGrid>
      <w:tr>
        <w:trPr/>
        <w:tc>
          <w:tcPr>
            <w:tcW w:w="1133"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1817"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(in years)</w:t>
            </w:r>
          </w:p>
        </w:tc>
        <w:tc>
          <w:tcPr>
            <w:tcW w:w="437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Weighted average remaining amortization period</w:t>
            </w:r>
          </w:p>
        </w:tc>
      </w:tr>
      <w:tr>
        <w:trPr/>
        <w:tc>
          <w:tcPr>
            <w:tcW w:w="31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43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9.3</w:t>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Proprietary technology</w:t>
            </w:r>
          </w:p>
        </w:tc>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9.8</w:t>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names</w:t>
            </w:r>
          </w:p>
        </w:tc>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0.8</w:t>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Land-use rights</w:t>
            </w:r>
          </w:p>
        </w:tc>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30.7</w:t>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Sealed source and supply agreements</w:t>
            </w:r>
          </w:p>
        </w:tc>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9.0</w:t>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0.8</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1"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v:textbox>
                <w10:wrap type="none"/>
              </v:rect>
            </w:pict>
          </mc:Fallback>
        </mc:AlternateContent>
      </w:r>
    </w:p>
    <w:p>
      <w:pPr>
        <w:pStyle w:val="TextBody"/>
        <w:bidi w:val="0"/>
        <w:spacing w:lineRule="auto" w:line="288" w:before="0" w:after="0"/>
        <w:jc w:val="left"/>
        <w:rPr/>
      </w:pPr>
      <w:hyperlink w:anchor="i27c953b2e3004595bc062f37867a09bd_7">
        <w:r>
          <w:rPr>
            <w:rStyle w:val="InternetLink"/>
            <w:rFonts w:ascii="Times New Roman;serif" w:hAnsi="Times New Roman;serif"/>
            <w:b w:val="false"/>
            <w:color w:val="0000FF"/>
            <w:sz w:val="20"/>
            <w:u w:val="single"/>
          </w:rPr>
          <w:t>Table of Contents</w:t>
        </w:r>
      </w:hyperlink>
    </w:p>
    <w:p>
      <w:pPr>
        <w:pStyle w:val="TextBody"/>
        <w:bidi w:val="0"/>
        <w:spacing w:lineRule="auto" w:line="288" w:before="40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Sotera Health Company </w:t>
      </w:r>
    </w:p>
    <w:p>
      <w:pPr>
        <w:pStyle w:val="TextBody"/>
        <w:bidi w:val="0"/>
        <w:spacing w:lineRule="auto" w:line="288" w:before="60" w:after="240"/>
        <w:jc w:val="center"/>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w:t>
      </w:r>
    </w:p>
    <w:p>
      <w:pPr>
        <w:pStyle w:val="TextBody"/>
        <w:bidi w:val="0"/>
        <w:spacing w:lineRule="auto" w:line="288" w:before="360" w:after="283"/>
        <w:ind w:left="0" w:right="0" w:hanging="360"/>
        <w:jc w:val="left"/>
        <w:rPr>
          <w:rFonts w:ascii="Times New Roman;serif" w:hAnsi="Times New Roman;serif"/>
          <w:b/>
          <w:color w:val="000000"/>
          <w:sz w:val="20"/>
        </w:rPr>
      </w:pPr>
      <w:r>
        <w:rPr>
          <w:rFonts w:ascii="Times New Roman;serif" w:hAnsi="Times New Roman;serif"/>
          <w:b/>
          <w:color w:val="000000"/>
          <w:sz w:val="20"/>
        </w:rPr>
        <w:t>8.Accrued Liabilities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Accrued liabilities consisted of the following:</w:t>
      </w:r>
    </w:p>
    <w:tbl>
      <w:tblPr>
        <w:tblW w:w="6308" w:type="dxa"/>
        <w:jc w:val="left"/>
        <w:tblInd w:w="0" w:type="dxa"/>
        <w:tblLayout w:type="fixed"/>
        <w:tblCellMar>
          <w:top w:w="28" w:type="dxa"/>
          <w:left w:w="28" w:type="dxa"/>
          <w:bottom w:w="28" w:type="dxa"/>
          <w:right w:w="28" w:type="dxa"/>
        </w:tblCellMar>
      </w:tblPr>
      <w:tblGrid>
        <w:gridCol w:w="1354"/>
        <w:gridCol w:w="1188"/>
        <w:gridCol w:w="1192"/>
        <w:gridCol w:w="211"/>
        <w:gridCol w:w="841"/>
        <w:gridCol w:w="109"/>
        <w:gridCol w:w="109"/>
        <w:gridCol w:w="109"/>
        <w:gridCol w:w="109"/>
        <w:gridCol w:w="211"/>
        <w:gridCol w:w="721"/>
        <w:gridCol w:w="154"/>
      </w:tblGrid>
      <w:tr>
        <w:trPr/>
        <w:tc>
          <w:tcPr>
            <w:tcW w:w="1354"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(thousands of U.S. dollars)</w:t>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u w:val="single"/>
              </w:rPr>
            </w:pPr>
            <w:r>
              <w:rPr>
                <w:rFonts w:ascii="Times New Roman;serif" w:hAnsi="Times New Roman;serif"/>
                <w:b/>
                <w:color w:val="000000"/>
                <w:sz w:val="16"/>
                <w:u w:val="single"/>
              </w:rPr>
              <w:t>As of December 31,</w:t>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employee compensation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43,543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37,018 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Reserve for Illinois EO litigation settlements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34,000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interest expense</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20,543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Embedded derivatives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1,872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fees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10,483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utilities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1,786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Insurance accrual</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2,131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taxes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3,287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7,091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Accrued liabilities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124,736</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90,463 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360"/>
        <w:jc w:val="left"/>
        <w:rPr>
          <w:rFonts w:ascii="Times New Roman;serif" w:hAnsi="Times New Roman;serif"/>
          <w:b/>
          <w:color w:val="000000"/>
          <w:sz w:val="20"/>
        </w:rPr>
      </w:pPr>
      <w:r>
        <w:rPr>
          <w:rFonts w:ascii="Times New Roman;serif" w:hAnsi="Times New Roman;serif"/>
          <w:b/>
          <w:color w:val="000000"/>
          <w:sz w:val="20"/>
        </w:rPr>
        <w:t>9.Long-Term Debt</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Long-term debt consisted of the following:</w:t>
      </w:r>
    </w:p>
    <w:tbl>
      <w:tblPr>
        <w:tblW w:w="10205" w:type="dxa"/>
        <w:jc w:val="left"/>
        <w:tblInd w:w="0" w:type="dxa"/>
        <w:tblLayout w:type="fixed"/>
        <w:tblCellMar>
          <w:top w:w="28" w:type="dxa"/>
          <w:left w:w="28" w:type="dxa"/>
          <w:bottom w:w="28" w:type="dxa"/>
          <w:right w:w="28" w:type="dxa"/>
        </w:tblCellMar>
      </w:tblPr>
      <w:tblGrid>
        <w:gridCol w:w="734"/>
        <w:gridCol w:w="640"/>
        <w:gridCol w:w="642"/>
        <w:gridCol w:w="211"/>
        <w:gridCol w:w="991"/>
        <w:gridCol w:w="109"/>
        <w:gridCol w:w="109"/>
        <w:gridCol w:w="109"/>
        <w:gridCol w:w="109"/>
        <w:gridCol w:w="545"/>
        <w:gridCol w:w="1634"/>
        <w:gridCol w:w="283"/>
        <w:gridCol w:w="109"/>
        <w:gridCol w:w="109"/>
        <w:gridCol w:w="109"/>
        <w:gridCol w:w="392"/>
        <w:gridCol w:w="1480"/>
        <w:gridCol w:w="202"/>
        <w:gridCol w:w="109"/>
        <w:gridCol w:w="109"/>
        <w:gridCol w:w="109"/>
        <w:gridCol w:w="211"/>
        <w:gridCol w:w="991"/>
        <w:gridCol w:w="159"/>
      </w:tblGrid>
      <w:tr>
        <w:trPr/>
        <w:tc>
          <w:tcPr>
            <w:tcW w:w="734"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634"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480"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01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(thousands of U.S. dollars)</w:t>
            </w:r>
          </w:p>
        </w:tc>
        <w:tc>
          <w:tcPr>
            <w:tcW w:w="1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As of December 31, 2025</w:t>
            </w:r>
          </w:p>
        </w:tc>
        <w:tc>
          <w:tcPr>
            <w:tcW w:w="13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Unamortized Debt Issuance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Unamortized Debt Discount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Amount</w:t>
            </w:r>
          </w:p>
        </w:tc>
      </w:tr>
      <w:tr>
        <w:trPr/>
        <w:tc>
          <w:tcPr>
            <w:tcW w:w="20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Secured notes due 2031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750,000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6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(3,129)</w:t>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4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746,871</w:t>
            </w:r>
            <w:r>
              <w:rPr>
                <w:color w:val="000000"/>
              </w:rPr>
              <w:t>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Term loan due 2031</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1,419,472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(6,618)</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(19,028)</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1,393,826</w:t>
            </w: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2,169,472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(9,747)</w:t>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(19,028)</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2,140,697</w:t>
            </w:r>
            <w:r>
              <w:rPr>
                <w:color w:val="000000"/>
              </w:rPr>
              <w:t>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portion</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14,230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(66)</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(191)</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13,973</w:t>
            </w: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Long-term debt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2,155,242</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6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(9,681)</w:t>
            </w:r>
          </w:p>
        </w:tc>
        <w:tc>
          <w:tcPr>
            <w:tcW w:w="2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4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(18,837)</w:t>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2,126,724</w:t>
            </w:r>
            <w:r>
              <w:rPr>
                <w:color w:val="000000"/>
              </w:rPr>
              <w:t>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737"/>
        <w:gridCol w:w="643"/>
        <w:gridCol w:w="645"/>
        <w:gridCol w:w="211"/>
        <w:gridCol w:w="976"/>
        <w:gridCol w:w="109"/>
        <w:gridCol w:w="109"/>
        <w:gridCol w:w="109"/>
        <w:gridCol w:w="109"/>
        <w:gridCol w:w="468"/>
        <w:gridCol w:w="1767"/>
        <w:gridCol w:w="242"/>
        <w:gridCol w:w="109"/>
        <w:gridCol w:w="109"/>
        <w:gridCol w:w="109"/>
        <w:gridCol w:w="394"/>
        <w:gridCol w:w="1486"/>
        <w:gridCol w:w="203"/>
        <w:gridCol w:w="109"/>
        <w:gridCol w:w="109"/>
        <w:gridCol w:w="109"/>
        <w:gridCol w:w="211"/>
        <w:gridCol w:w="976"/>
        <w:gridCol w:w="156"/>
      </w:tblGrid>
      <w:tr>
        <w:trPr/>
        <w:tc>
          <w:tcPr>
            <w:tcW w:w="737"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176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(thousands of U.S. dollars)</w:t>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As of December 31, 2024</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Unamortized Debt Issuance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Unamortized Debt Discount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Amount</w:t>
            </w:r>
          </w:p>
        </w:tc>
      </w:tr>
      <w:tr>
        <w:trPr/>
        <w:tc>
          <w:tcPr>
            <w:tcW w:w="2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Secured notes due 2031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(3,707)</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746,293 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loan due 2031</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1,505,577 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(6,508)</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(22,459)</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1,476,610 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2,255,577 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(10,215)</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(22,459)</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2,222,903 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portion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14,803 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Long-term debt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2,240,483 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(10,150)</w:t>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(22,233)</w:t>
            </w:r>
          </w:p>
        </w:tc>
        <w:tc>
          <w:tcPr>
            <w:tcW w:w="2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2,208,100 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Debt Facilities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Under the debt agreements summarized below, at December 31, 2025 we and SHH, our wholly owned subsidiary, had debt payment obligations under (a) a term loan in the amount of $1,419.5 million, (b) a revolving credit facility, which supported operationally-related letters of credit but was otherwise undrawn, and which provides to us capacity up to $600.0 million for future potential borrowings, and (c) $750.0 million of senior secured notes. Our debt agreements also include additional covenants, conditions and rights to request additional debt, as summarized below.</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Senior Secured Credit Facilities and Indenture</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On December 13, 2019, SHH entered into senior secured first lien credit facilities (the “Senior Secured Credit Facilities”), consisting of both a prepayable senior secured first lien term loan (the “Term Loans”) and a senior secured first lien revolving credit facility (the “Revolving Credit Facility”) pursuant to a first lien credit agreement (as amended through Amendment No. 6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2"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v:textbox>
                <w10:wrap type="none"/>
              </v:rect>
            </w:pict>
          </mc:Fallback>
        </mc:AlternateContent>
      </w:r>
    </w:p>
    <w:p>
      <w:pPr>
        <w:pStyle w:val="TextBody"/>
        <w:bidi w:val="0"/>
        <w:spacing w:lineRule="auto" w:line="288" w:before="0" w:after="0"/>
        <w:jc w:val="left"/>
        <w:rPr/>
      </w:pPr>
      <w:hyperlink w:anchor="i27c953b2e3004595bc062f37867a09bd_7">
        <w:r>
          <w:rPr>
            <w:rStyle w:val="InternetLink"/>
            <w:rFonts w:ascii="Times New Roman;serif" w:hAnsi="Times New Roman;serif"/>
            <w:b w:val="false"/>
            <w:color w:val="0000FF"/>
            <w:sz w:val="20"/>
            <w:u w:val="single"/>
          </w:rPr>
          <w:t>Table of Contents</w:t>
        </w:r>
      </w:hyperlink>
    </w:p>
    <w:p>
      <w:pPr>
        <w:pStyle w:val="TextBody"/>
        <w:bidi w:val="0"/>
        <w:spacing w:lineRule="auto" w:line="288" w:before="40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Sotera Health Company </w:t>
      </w:r>
    </w:p>
    <w:p>
      <w:pPr>
        <w:pStyle w:val="TextBody"/>
        <w:bidi w:val="0"/>
        <w:spacing w:lineRule="auto" w:line="288" w:before="60" w:after="240"/>
        <w:jc w:val="center"/>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w:t>
      </w:r>
    </w:p>
    <w:p>
      <w:pPr>
        <w:pStyle w:val="TextBody"/>
        <w:bidi w:val="0"/>
        <w:spacing w:lineRule="auto" w:line="288" w:before="200" w:after="283"/>
        <w:jc w:val="left"/>
        <w:rPr/>
      </w:pPr>
      <w:r>
        <w:rPr>
          <w:rFonts w:ascii="Times New Roman;serif" w:hAnsi="Times New Roman;serif"/>
          <w:b w:val="false"/>
          <w:color w:val="000000"/>
          <w:sz w:val="20"/>
        </w:rPr>
        <w:t>(as defined below), the “Credit Agreement”).</w:t>
      </w:r>
      <w:r>
        <w:rPr>
          <w:color w:val="000000"/>
          <w:shd w:fill="FFFFFF" w:val="clear"/>
        </w:rPr>
        <w:t xml:space="preserve"> </w:t>
      </w:r>
      <w:r>
        <w:rPr>
          <w:rFonts w:ascii="Times New Roman;serif" w:hAnsi="Times New Roman;serif"/>
          <w:b w:val="false"/>
          <w:color w:val="000000"/>
          <w:sz w:val="20"/>
          <w:shd w:fill="FFFFFF" w:val="clear"/>
        </w:rPr>
        <w:t>The Senior Secured Credit Facilities also provide SHH the right at any time and under certain conditions to request incremental term loans or incremental revolving credit commitments based on a formula defined in the Senior Secured Credit Facilities.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On September 17, 2025, the Company and SHH entered into Amendment No. 6 (“Amendment No. 6”) to the Credit Agreement. Among other changes, Amendment No. 6 provides for the refinancing lenders to provide term loans (the “Repriced Term Loans”) to SHH in an aggregate principal amount of $1,419.5 million, which reflects the balance after the Company’s application of $75.0 million of available cash to repay outstanding borrowings under its term loan facility. Amendment No. 6 also reduced the interest rate spread by 0.50% across term loans under the facility, such that the Repriced Term Loans have an applicable interest rate margin equal to the Adjusted Term SOFR (as defined in the Credit Agreement) plus 2.50%, with a 0.00% floor (with optionality for the Company to elect Alternate Base Rate (“ABR”) plus 1.50% or Adjusted Daily Simple SOFR plus 2.50% (each as defined in the Credit Agreement)). This pricing reflects both the 0.50% reduction implemented through Amendment No. 6 and a 0.25% contractual pricing step-down that was triggered in August 2025. The Repriced Term Loans are also subject to a “soft call” premium of 1.00% for certain repricing transactions with respect to the Repriced Term Loans that occur within the six-month period after the effective date of Amendment No. 6. The Repriced Term Loans amortize at a rate of 1.00% per annum and mature on May 30, 2031.</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On April 30, 2025, the Company and SHH entered into Amendment No. 5 (“Amendment No. 5”) to the Credit Agreement. Among other changes, Amendment No. 5 provides (i) for an increase in the commitments under the existing Revolving Credit Facility in an aggregate principal amount of $176.2 million, (ii) that certain lenders providing revolving credit commitments shall also provide additional commitments for the issuance of letters of credit under the Revolving Credit Facility in an aggregate principal amount of $186.3 million and (iii) for the extension of the maturity date of the Revolving Credit Facility to April 30, 2030. Amendment No. 5 does not give effect to any other material changes to the terms and conditions of the Credit Agreement, including with respect to the representations and warranties, events of default and the affirmative or negative covenants.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On May 30, 2024, the Company and SHH entered into Amendment No. 4 (“Amendment No. 4”) to the Senior Secured Credit Facilities. Among other changes, Amendment No. 4 provides for term loans (the “Refinancing Term Loans”) to SHH in an aggregate principal amount of $1,509.4 million. Pursuant to Amendment No. 4, the Refinancing Term Loans shall have an applicable interest rate margin per annum equal to (i) ABR plus 2.25% for ABR Loans (as defined in the Credit Agreement), (ii) daily simple Secured Overnight Financing Rate (“SOFR”) plus 3.25% for RFR Loans (as defined in the Credit Agreement) and (iii) Term SOFR plus 3.25% for Term Benchmark Loans (as defined in the Credit Agreement), in each case with a 0.00% applicable floor and the applicable interest rate margin shall be subject to a pricing step-down of 0.25% when the Senior Secured Leverage Ratio (as defined in the Credit Agreement) is less than or equal to 3.30:1.00. The Refinancing Term Loans amortize at a rate of 1.00% per annum and mature on May 30, 2031.</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weighted average interest rates on borrowings under the Refinancing Term Loans for the years ended December 31, 2025 and 2024 was 7.25% and 8.29%, respectively.</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On May 30, 2024, SHH, the Company, certain subsidiaries of the Company (the “Guarantors”), and Wilmington Trust, National Association, as trustee, paying agent, registrar, transfer agent and notes collateral agent, entered into an Indenture (the “Indenture”) governing SHH’s $750.0 million aggregate principal amount of 7.375% senior secured notes due 2031 (the “Secured Notes”) issued in May 2024. The Secured Notes pay interest semiannually in arrears on June 1 and December 1 of each year, which began on December 1, 2024, at a rate of 7.375% per year, and will mature on June 1, 2031. The Secured Notes may be redeemed, at any time or from time to time, in whole or in part, on or after June 1, 2027 at the redemption prices specified in the Indenture, together with accrued and unpaid interest, if any, thereon to, but excluding, the redemption date. At any time or from time to time, prior to June 1, 2027, the Secured Notes may be redeemed, in whole or in part, at a redemption price equal to 100% of the aggregate principal amount thereof plus a make-whole premium, together with accrued and unpaid interest, if any, thereon to, but excluding, the redemption date. In addition, at any time or from time to time, prior to June 1, 2027, SHH may redeem up to 40% of the aggregate principal amount of the Secured Notes (including any additional Secured Notes issued under the Indenture) with an amount not to exceed the net cash proceeds from certain equity offerings at a redemption price equal to 107.375% of the aggregate principal amount thereof plus accrued and unpaid interest, if any, thereon to, but excluding, the redemption date. Further, at any time or from time to time, on or before June 1, 2027, SHH may redeem up to 10% of the then outstanding aggregate principal amount of Secured Notes (including any additional Secured Notes issued under the Indenture) during each of the twelve-month periods ending after the issue date, at a redemption price equal to 103%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3"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v:textbox>
                <w10:wrap type="none"/>
              </v:rect>
            </w:pict>
          </mc:Fallback>
        </mc:AlternateContent>
      </w:r>
    </w:p>
    <w:p>
      <w:pPr>
        <w:pStyle w:val="TextBody"/>
        <w:bidi w:val="0"/>
        <w:spacing w:lineRule="auto" w:line="288" w:before="0" w:after="0"/>
        <w:jc w:val="left"/>
        <w:rPr/>
      </w:pPr>
      <w:hyperlink w:anchor="i27c953b2e3004595bc062f37867a09bd_7">
        <w:r>
          <w:rPr>
            <w:rStyle w:val="InternetLink"/>
            <w:rFonts w:ascii="Times New Roman;serif" w:hAnsi="Times New Roman;serif"/>
            <w:b w:val="false"/>
            <w:color w:val="0000FF"/>
            <w:sz w:val="20"/>
            <w:u w:val="single"/>
          </w:rPr>
          <w:t>Table of Contents</w:t>
        </w:r>
      </w:hyperlink>
    </w:p>
    <w:p>
      <w:pPr>
        <w:pStyle w:val="TextBody"/>
        <w:bidi w:val="0"/>
        <w:spacing w:lineRule="auto" w:line="288" w:before="40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Sotera Health Company </w:t>
      </w:r>
    </w:p>
    <w:p>
      <w:pPr>
        <w:pStyle w:val="TextBody"/>
        <w:bidi w:val="0"/>
        <w:spacing w:lineRule="auto" w:line="288" w:before="60" w:after="240"/>
        <w:jc w:val="center"/>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of the aggregate principal amount thereof, plus accrued and unpaid interest, if any, thereon to, but excluding, the redemption date.</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obligations under the Indenture are secured on a first-lien basis by security interests in substantially all of the assets of SHH, the Company and the Guarantors (other than any excluded assets) that secure the Credit Agreement on a pari passu basis, subject to certain limitations, exceptions and permitted liens. These obligations are secured pursuant to a security agreement, dated as of May 30, 2024, by and among SHH, the Company, the other grantors party thereto, and Wilmington Trust, National Association (the “Security Agreement”), as may be amended from time to time, and related financing statements.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Company used the combined net proceeds from the Refinancing Term Loans and Secured Notes, along with cash on hand, to refinance its previously outstanding $1,763.1 million Term Loan due 2026 and $496.3 million Term Loan B due 2026.</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Senior Secured Credit Facilities and the Indenture contain additional covenants that, among other things, restrict, subject to certain exceptions, limitations and qualifications, our ability and the ability of our restricted subsidiaries to engage in certain activities, such as incur additional indebtedness or permit to exist any lien on any property or asset now owned or hereafter acquired, as specified in the Senior Secured Credit Facilities and the Indenture. The Senior Secured Credit Facilities and the Indenture also contain certain customary affirmative covenants and events of default, including upon a change of control. In addition, an event of default under the Senior Secured Credit Facilities and the Indenture would occur if the Company or certain of its subsidiaries received one or more enforceable judgments for payment in an aggregate amount in excess of the greater of (i) $162.6 million or (ii) 30.0% of consolidated EBITDA or LTM EBITDA (as defined in the Credit Agreement and the Indenture, respectively) and the judgments were not stayed or remained undischarged for a period of 60 consecutive days. As of December 31, 2025, we were in compliance with all of the covenants under the Senior Secured Credit Facilities and the Indenture.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All of SHH’s obligations under the Senior Secured Credit Facilities and the Indenture are unconditionally guaranteed by the Company and each existing and subsequently acquired or organized direct or indirect wholly-owned domestic restricted subsidiary of the Company, with customary exceptions including, among other things, where providing such guarantees is not permitted by law, regulation or contract or would result in material adverse tax consequences. All obligations under the Senior Secured Credit Facilities and the Indenture, and the guarantees of such obligations, are secured by substantially all assets of SHH and the guarantors, subject to permitted liens and other exceptions and exclusions, as outlined in the Senior Secured Credit Facilities, the Indenture and the Security Agreement.</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Outstanding letters of credit are collateralized by encumbrances against the Revolving Credit Facility and the collateral pledged thereunder, or by cash placed on deposit with the issuing bank. As of December 31, 2025, the Company had $8.2 million of letters of credit issued against the Revolving Credit Facility, resulting in total availability under the Revolving Credit Facility of $591.8 million.</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Term Loan Interest Rate Risk Management</w:t>
      </w:r>
    </w:p>
    <w:p>
      <w:pPr>
        <w:pStyle w:val="TextBody"/>
        <w:bidi w:val="0"/>
        <w:spacing w:lineRule="auto" w:line="288" w:before="200" w:after="283"/>
        <w:jc w:val="left"/>
        <w:rPr/>
      </w:pPr>
      <w:r>
        <w:rPr>
          <w:rFonts w:ascii="Times New Roman;serif" w:hAnsi="Times New Roman;serif"/>
          <w:b w:val="false"/>
          <w:color w:val="000000"/>
          <w:sz w:val="20"/>
        </w:rPr>
        <w:t xml:space="preserve">The Company utilizes interest rate derivatives to reduce the variability of cash flows in the interest payments associated with our variable rate debt due to changes in SOFR. For additional information on the derivative instruments described above, refer to Note 20, “Financial Instruments and Financial Risk”, </w:t>
      </w:r>
      <w:r>
        <w:rPr>
          <w:color w:val="000000"/>
        </w:rPr>
        <w:t>“</w:t>
      </w:r>
      <w:r>
        <w:rPr>
          <w:rFonts w:ascii="Times New Roman;serif" w:hAnsi="Times New Roman;serif"/>
          <w:b w:val="false"/>
          <w:i/>
          <w:color w:val="000000"/>
          <w:sz w:val="20"/>
        </w:rPr>
        <w:t>Derivative Instruments.”</w:t>
      </w:r>
    </w:p>
    <w:p>
      <w:pPr>
        <w:pStyle w:val="TextBody"/>
        <w:bidi w:val="0"/>
        <w:spacing w:lineRule="auto" w:line="288" w:before="200" w:after="283"/>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 xml:space="preserve">Debt Maturities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Aggregate maturities of the Company’s long-term debt, excluding debt issuance costs and discounts, as of December 31, 2025, are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4"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v:textbox>
                <w10:wrap type="none"/>
              </v:rect>
            </w:pict>
          </mc:Fallback>
        </mc:AlternateContent>
      </w:r>
    </w:p>
    <w:p>
      <w:pPr>
        <w:pStyle w:val="TextBody"/>
        <w:bidi w:val="0"/>
        <w:spacing w:lineRule="auto" w:line="288" w:before="0" w:after="0"/>
        <w:jc w:val="left"/>
        <w:rPr/>
      </w:pPr>
      <w:hyperlink w:anchor="i27c953b2e3004595bc062f37867a09bd_7">
        <w:r>
          <w:rPr>
            <w:rStyle w:val="InternetLink"/>
            <w:rFonts w:ascii="Times New Roman;serif" w:hAnsi="Times New Roman;serif"/>
            <w:b w:val="false"/>
            <w:color w:val="0000FF"/>
            <w:sz w:val="20"/>
            <w:u w:val="single"/>
          </w:rPr>
          <w:t>Table of Contents</w:t>
        </w:r>
      </w:hyperlink>
    </w:p>
    <w:p>
      <w:pPr>
        <w:pStyle w:val="TextBody"/>
        <w:bidi w:val="0"/>
        <w:spacing w:lineRule="auto" w:line="288" w:before="40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Sotera Health Company </w:t>
      </w:r>
    </w:p>
    <w:p>
      <w:pPr>
        <w:pStyle w:val="TextBody"/>
        <w:bidi w:val="0"/>
        <w:spacing w:lineRule="auto" w:line="288" w:before="60" w:after="240"/>
        <w:jc w:val="center"/>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w:t>
      </w:r>
    </w:p>
    <w:tbl>
      <w:tblPr>
        <w:tblW w:w="3351" w:type="dxa"/>
        <w:jc w:val="left"/>
        <w:tblInd w:w="0" w:type="dxa"/>
        <w:tblLayout w:type="fixed"/>
        <w:tblCellMar>
          <w:top w:w="28" w:type="dxa"/>
          <w:left w:w="28" w:type="dxa"/>
          <w:bottom w:w="28" w:type="dxa"/>
          <w:right w:w="28" w:type="dxa"/>
        </w:tblCellMar>
      </w:tblPr>
      <w:tblGrid>
        <w:gridCol w:w="723"/>
        <w:gridCol w:w="635"/>
        <w:gridCol w:w="637"/>
        <w:gridCol w:w="211"/>
        <w:gridCol w:w="991"/>
        <w:gridCol w:w="154"/>
      </w:tblGrid>
      <w:tr>
        <w:trPr/>
        <w:tc>
          <w:tcPr>
            <w:tcW w:w="723"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(thousands of U.S. dollars)</w:t>
            </w:r>
          </w:p>
        </w:tc>
        <w:tc>
          <w:tcPr>
            <w:tcW w:w="135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14,230</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14,230</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14,230</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14,230</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14,230</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2,098,322</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2,169,472</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360"/>
        <w:jc w:val="left"/>
        <w:rPr>
          <w:rFonts w:ascii="Times New Roman;serif" w:hAnsi="Times New Roman;serif"/>
          <w:b/>
          <w:color w:val="000000"/>
          <w:sz w:val="20"/>
        </w:rPr>
      </w:pPr>
      <w:r>
        <w:rPr>
          <w:rFonts w:ascii="Times New Roman;serif" w:hAnsi="Times New Roman;serif"/>
          <w:b/>
          <w:color w:val="000000"/>
          <w:sz w:val="20"/>
        </w:rPr>
        <w:t>10.Income Taxes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geographic sources of income before income taxes were as follows: </w:t>
      </w:r>
    </w:p>
    <w:tbl>
      <w:tblPr>
        <w:tblW w:w="6777" w:type="dxa"/>
        <w:jc w:val="left"/>
        <w:tblInd w:w="0" w:type="dxa"/>
        <w:tblLayout w:type="fixed"/>
        <w:tblCellMar>
          <w:top w:w="28" w:type="dxa"/>
          <w:left w:w="28" w:type="dxa"/>
          <w:bottom w:w="28" w:type="dxa"/>
          <w:right w:w="28" w:type="dxa"/>
        </w:tblCellMar>
      </w:tblPr>
      <w:tblGrid>
        <w:gridCol w:w="897"/>
        <w:gridCol w:w="788"/>
        <w:gridCol w:w="790"/>
        <w:gridCol w:w="211"/>
        <w:gridCol w:w="841"/>
        <w:gridCol w:w="109"/>
        <w:gridCol w:w="109"/>
        <w:gridCol w:w="109"/>
        <w:gridCol w:w="109"/>
        <w:gridCol w:w="211"/>
        <w:gridCol w:w="901"/>
        <w:gridCol w:w="109"/>
        <w:gridCol w:w="109"/>
        <w:gridCol w:w="109"/>
        <w:gridCol w:w="109"/>
        <w:gridCol w:w="211"/>
        <w:gridCol w:w="901"/>
        <w:gridCol w:w="154"/>
      </w:tblGrid>
      <w:tr>
        <w:trPr/>
        <w:tc>
          <w:tcPr>
            <w:tcW w:w="897"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(thousands of U.S. dollars)</w:t>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u w:val="single"/>
              </w:rPr>
            </w:pPr>
            <w:r>
              <w:rPr>
                <w:rFonts w:ascii="Times New Roman;serif" w:hAnsi="Times New Roman;serif"/>
                <w:b/>
                <w:color w:val="000000"/>
                <w:sz w:val="16"/>
                <w:u w:val="single"/>
              </w:rPr>
              <w:t>Year ended December 31,</w:t>
            </w:r>
          </w:p>
        </w:tc>
        <w:tc>
          <w:tcPr>
            <w:tcW w:w="11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(69,357)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(116,049)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(100,635)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216,863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229,923 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206,662 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color w:val="000000"/>
                <w:sz w:val="20"/>
              </w:rPr>
            </w:pPr>
            <w:r>
              <w:rPr>
                <w:rFonts w:ascii="Times New Roman;serif" w:hAnsi="Times New Roman;serif"/>
                <w:b/>
                <w:color w:val="000000"/>
                <w:sz w:val="20"/>
              </w:rPr>
              <w:t>Income before income taxes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147,506</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113,874 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106,027 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Provision for income taxes consisted of the following: </w:t>
      </w:r>
    </w:p>
    <w:tbl>
      <w:tblPr>
        <w:tblW w:w="6716" w:type="dxa"/>
        <w:jc w:val="left"/>
        <w:tblInd w:w="0" w:type="dxa"/>
        <w:tblLayout w:type="fixed"/>
        <w:tblCellMar>
          <w:top w:w="28" w:type="dxa"/>
          <w:left w:w="28" w:type="dxa"/>
          <w:bottom w:w="28" w:type="dxa"/>
          <w:right w:w="28" w:type="dxa"/>
        </w:tblCellMar>
      </w:tblPr>
      <w:tblGrid>
        <w:gridCol w:w="1043"/>
        <w:gridCol w:w="916"/>
        <w:gridCol w:w="920"/>
        <w:gridCol w:w="211"/>
        <w:gridCol w:w="736"/>
        <w:gridCol w:w="109"/>
        <w:gridCol w:w="109"/>
        <w:gridCol w:w="109"/>
        <w:gridCol w:w="109"/>
        <w:gridCol w:w="211"/>
        <w:gridCol w:w="721"/>
        <w:gridCol w:w="109"/>
        <w:gridCol w:w="109"/>
        <w:gridCol w:w="109"/>
        <w:gridCol w:w="109"/>
        <w:gridCol w:w="211"/>
        <w:gridCol w:w="721"/>
        <w:gridCol w:w="154"/>
      </w:tblGrid>
      <w:tr>
        <w:trPr/>
        <w:tc>
          <w:tcPr>
            <w:tcW w:w="1043"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(thousands of U.S. dollars)</w:t>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u w:val="single"/>
              </w:rPr>
            </w:pPr>
            <w:r>
              <w:rPr>
                <w:rFonts w:ascii="Times New Roman;serif" w:hAnsi="Times New Roman;serif"/>
                <w:b/>
                <w:color w:val="000000"/>
                <w:sz w:val="16"/>
                <w:u w:val="single"/>
              </w:rPr>
              <w:t>Year ended December 31,</w:t>
            </w:r>
          </w:p>
        </w:tc>
        <w:tc>
          <w:tcPr>
            <w:tcW w:w="10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Current</w:t>
            </w:r>
          </w:p>
        </w:tc>
        <w:tc>
          <w:tcPr>
            <w:tcW w:w="10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Federal U.S.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8,975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 U.S.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1,108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59,452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provision</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69,535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51,202 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Deferred</w:t>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Federal U.S.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 U.S.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670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deferred provision</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color w:val="000000"/>
                <w:sz w:val="20"/>
              </w:rPr>
            </w:pPr>
            <w:r>
              <w:rPr>
                <w:rFonts w:ascii="Times New Roman;serif" w:hAnsi="Times New Roman;serif"/>
                <w:b/>
                <w:color w:val="000000"/>
                <w:sz w:val="20"/>
              </w:rPr>
              <w:t>Total provision for income taxes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69,557</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69,476 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54,651 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5"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83</w:t>
                      </w:r>
                    </w:p>
                  </w:txbxContent>
                </v:textbox>
                <w10:wrap type="none"/>
              </v:rect>
            </w:pict>
          </mc:Fallback>
        </mc:AlternateContent>
      </w:r>
    </w:p>
    <w:p>
      <w:pPr>
        <w:pStyle w:val="TextBody"/>
        <w:bidi w:val="0"/>
        <w:spacing w:lineRule="auto" w:line="288" w:before="0" w:after="0"/>
        <w:jc w:val="left"/>
        <w:rPr/>
      </w:pPr>
      <w:hyperlink w:anchor="i27c953b2e3004595bc062f37867a09bd_7">
        <w:r>
          <w:rPr>
            <w:rStyle w:val="InternetLink"/>
            <w:rFonts w:ascii="Times New Roman;serif" w:hAnsi="Times New Roman;serif"/>
            <w:b w:val="false"/>
            <w:color w:val="0000FF"/>
            <w:sz w:val="20"/>
            <w:u w:val="single"/>
          </w:rPr>
          <w:t>Table of Contents</w:t>
        </w:r>
      </w:hyperlink>
    </w:p>
    <w:p>
      <w:pPr>
        <w:pStyle w:val="TextBody"/>
        <w:bidi w:val="0"/>
        <w:spacing w:lineRule="auto" w:line="288" w:before="40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Sotera Health Company </w:t>
      </w:r>
    </w:p>
    <w:p>
      <w:pPr>
        <w:pStyle w:val="TextBody"/>
        <w:bidi w:val="0"/>
        <w:spacing w:lineRule="auto" w:line="288" w:before="60" w:after="240"/>
        <w:jc w:val="center"/>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provision for income taxes for the year ended December 31, 2025 is reconciled with the U.S. federal statutory rate as follows:</w:t>
      </w:r>
    </w:p>
    <w:tbl>
      <w:tblPr>
        <w:tblW w:w="8188" w:type="dxa"/>
        <w:jc w:val="left"/>
        <w:tblInd w:w="0" w:type="dxa"/>
        <w:tblLayout w:type="fixed"/>
        <w:tblCellMar>
          <w:top w:w="28" w:type="dxa"/>
          <w:left w:w="28" w:type="dxa"/>
          <w:bottom w:w="28" w:type="dxa"/>
          <w:right w:w="28" w:type="dxa"/>
        </w:tblCellMar>
      </w:tblPr>
      <w:tblGrid>
        <w:gridCol w:w="2092"/>
        <w:gridCol w:w="1845"/>
        <w:gridCol w:w="1852"/>
        <w:gridCol w:w="211"/>
        <w:gridCol w:w="736"/>
        <w:gridCol w:w="109"/>
        <w:gridCol w:w="109"/>
        <w:gridCol w:w="109"/>
        <w:gridCol w:w="109"/>
        <w:gridCol w:w="263"/>
        <w:gridCol w:w="263"/>
        <w:gridCol w:w="490"/>
      </w:tblGrid>
      <w:tr>
        <w:trPr/>
        <w:tc>
          <w:tcPr>
            <w:tcW w:w="2092" w:type="dxa"/>
            <w:tcBorders/>
            <w:vAlign w:val="center"/>
          </w:tcPr>
          <w:p>
            <w:pPr>
              <w:pStyle w:val="TableContents"/>
              <w:bidi w:val="0"/>
              <w:spacing w:before="0" w:after="283"/>
              <w:jc w:val="left"/>
              <w:rPr>
                <w:sz w:val="4"/>
                <w:szCs w:val="4"/>
              </w:rPr>
            </w:pPr>
            <w:r>
              <w:rPr>
                <w:sz w:val="4"/>
                <w:szCs w:val="4"/>
              </w:rPr>
            </w:r>
          </w:p>
        </w:tc>
        <w:tc>
          <w:tcPr>
            <w:tcW w:w="1845" w:type="dxa"/>
            <w:tcBorders/>
            <w:vAlign w:val="center"/>
          </w:tcPr>
          <w:p>
            <w:pPr>
              <w:pStyle w:val="TableContents"/>
              <w:bidi w:val="0"/>
              <w:spacing w:before="0" w:after="283"/>
              <w:jc w:val="left"/>
              <w:rPr>
                <w:sz w:val="4"/>
                <w:szCs w:val="4"/>
              </w:rPr>
            </w:pPr>
            <w:r>
              <w:rPr>
                <w:sz w:val="4"/>
                <w:szCs w:val="4"/>
              </w:rPr>
            </w:r>
          </w:p>
        </w:tc>
        <w:tc>
          <w:tcPr>
            <w:tcW w:w="18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u w:val="single"/>
              </w:rPr>
            </w:pPr>
            <w:r>
              <w:rPr>
                <w:rFonts w:ascii="Times New Roman;serif" w:hAnsi="Times New Roman;serif"/>
                <w:b/>
                <w:color w:val="000000"/>
                <w:sz w:val="16"/>
                <w:u w:val="single"/>
              </w:rPr>
              <w:t>Year ended December 31,</w:t>
            </w:r>
          </w:p>
        </w:tc>
        <w:tc>
          <w:tcPr>
            <w:tcW w:w="23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578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(thousands of U.S. dollars)</w:t>
            </w:r>
          </w:p>
        </w:tc>
        <w:tc>
          <w:tcPr>
            <w:tcW w:w="10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Percent</w:t>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U.S. Federal Statutory Tax Rate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30,976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21.0</w:t>
            </w:r>
            <w:r>
              <w:rPr>
                <w:color w:val="000000"/>
              </w:rPr>
              <w:t> </w:t>
            </w:r>
          </w:p>
        </w:tc>
        <w:tc>
          <w:tcPr>
            <w:tcW w:w="4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Increase (decrease) in taxes as a result of:</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State and Local Income Taxes, Net of Federal Income Tax Effect</w:t>
            </w:r>
            <w:r>
              <w:rPr>
                <w:color w:val="000000"/>
              </w:rPr>
              <w:t xml:space="preserve"> </w:t>
            </w:r>
            <w:r>
              <w:rPr>
                <w:rFonts w:ascii="Times New Roman;serif" w:hAnsi="Times New Roman;serif"/>
                <w:b/>
                <w:color w:val="000000"/>
                <w:sz w:val="13"/>
              </w:rPr>
              <w:t>(a)</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2,495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w:t>
            </w:r>
            <w:r>
              <w:rPr>
                <w:color w:val="000000"/>
              </w:rPr>
              <w:t> </w:t>
            </w:r>
          </w:p>
        </w:tc>
        <w:tc>
          <w:tcPr>
            <w:tcW w:w="4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Foreign Tax Effects</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Canada</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 taxes, net of federal income tax effect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12,637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8.6</w:t>
            </w:r>
            <w:r>
              <w:rPr>
                <w:color w:val="000000"/>
              </w:rPr>
              <w:t> </w:t>
            </w:r>
          </w:p>
        </w:tc>
        <w:tc>
          <w:tcPr>
            <w:tcW w:w="4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rate differential</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(6,891)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(4.7)</w:t>
            </w:r>
          </w:p>
        </w:tc>
        <w:tc>
          <w:tcPr>
            <w:tcW w:w="4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Withholding tax</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15,259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10.3</w:t>
            </w:r>
            <w:r>
              <w:rPr>
                <w:color w:val="000000"/>
              </w:rPr>
              <w:t> </w:t>
            </w:r>
          </w:p>
        </w:tc>
        <w:tc>
          <w:tcPr>
            <w:tcW w:w="4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1,058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0.7</w:t>
            </w:r>
            <w:r>
              <w:rPr>
                <w:color w:val="000000"/>
              </w:rPr>
              <w:t> </w:t>
            </w:r>
          </w:p>
        </w:tc>
        <w:tc>
          <w:tcPr>
            <w:tcW w:w="4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Brazil</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rate differential</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1,887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w:t>
            </w:r>
            <w:r>
              <w:rPr>
                <w:color w:val="000000"/>
              </w:rPr>
              <w:t> </w:t>
            </w:r>
          </w:p>
        </w:tc>
        <w:tc>
          <w:tcPr>
            <w:tcW w:w="4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Nontaxable income from application of presumed profits method</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(2,301)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(1.6)</w:t>
            </w:r>
          </w:p>
        </w:tc>
        <w:tc>
          <w:tcPr>
            <w:tcW w:w="4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1,903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w:t>
            </w:r>
            <w:r>
              <w:rPr>
                <w:color w:val="000000"/>
              </w:rPr>
              <w:t> </w:t>
            </w:r>
          </w:p>
        </w:tc>
        <w:tc>
          <w:tcPr>
            <w:tcW w:w="4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Belgium</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valuation allowance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1,807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w:t>
            </w:r>
            <w:r>
              <w:rPr>
                <w:color w:val="000000"/>
              </w:rPr>
              <w:t> </w:t>
            </w:r>
          </w:p>
        </w:tc>
        <w:tc>
          <w:tcPr>
            <w:tcW w:w="4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Prior year differences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(1,990)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(1.3)</w:t>
            </w:r>
          </w:p>
        </w:tc>
        <w:tc>
          <w:tcPr>
            <w:tcW w:w="4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1,960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w:t>
            </w:r>
            <w:r>
              <w:rPr>
                <w:color w:val="000000"/>
              </w:rPr>
              <w:t> </w:t>
            </w:r>
          </w:p>
        </w:tc>
        <w:tc>
          <w:tcPr>
            <w:tcW w:w="4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Other Foreign Jurisdictions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3,522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w:t>
            </w:r>
            <w:r>
              <w:rPr>
                <w:color w:val="000000"/>
              </w:rPr>
              <w:t> </w:t>
            </w:r>
          </w:p>
        </w:tc>
        <w:tc>
          <w:tcPr>
            <w:tcW w:w="4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Effect of Cross Border Tax Laws</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Global intangible low-taxed income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1,800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w:t>
            </w:r>
            <w:r>
              <w:rPr>
                <w:color w:val="000000"/>
              </w:rPr>
              <w:t> </w:t>
            </w:r>
          </w:p>
        </w:tc>
        <w:tc>
          <w:tcPr>
            <w:tcW w:w="4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Changes in Valuation Allowance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3,128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w:t>
            </w:r>
            <w:r>
              <w:rPr>
                <w:color w:val="000000"/>
              </w:rPr>
              <w:t> </w:t>
            </w:r>
          </w:p>
        </w:tc>
        <w:tc>
          <w:tcPr>
            <w:tcW w:w="4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Nontaxable or Nondeductible Items</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Non-deductible equity compensation</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2,256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w:t>
            </w:r>
            <w:r>
              <w:rPr>
                <w:color w:val="000000"/>
              </w:rPr>
              <w:t> </w:t>
            </w:r>
          </w:p>
        </w:tc>
        <w:tc>
          <w:tcPr>
            <w:tcW w:w="4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Adjustments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provision for income taxes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69,557</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47.2</w:t>
            </w:r>
            <w:r>
              <w:rPr>
                <w:color w:val="000000"/>
              </w:rPr>
              <w:t> </w:t>
            </w:r>
          </w:p>
        </w:tc>
        <w:tc>
          <w:tcPr>
            <w:tcW w:w="4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bl>
    <w:p>
      <w:pPr>
        <w:pStyle w:val="TextBody"/>
        <w:bidi w:val="0"/>
        <w:spacing w:lineRule="auto" w:line="288" w:before="8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(a)State taxes in California, Illinois and Utah made up the majority (greater than 50 percent) of the tax effect in this category.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6"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84</w:t>
                      </w:r>
                    </w:p>
                  </w:txbxContent>
                </v:textbox>
                <w10:wrap type="none"/>
              </v:rect>
            </w:pict>
          </mc:Fallback>
        </mc:AlternateContent>
      </w:r>
    </w:p>
    <w:p>
      <w:pPr>
        <w:pStyle w:val="TextBody"/>
        <w:bidi w:val="0"/>
        <w:spacing w:lineRule="auto" w:line="288" w:before="0" w:after="0"/>
        <w:jc w:val="left"/>
        <w:rPr/>
      </w:pPr>
      <w:hyperlink w:anchor="i27c953b2e3004595bc062f37867a09bd_7">
        <w:r>
          <w:rPr>
            <w:rStyle w:val="InternetLink"/>
            <w:rFonts w:ascii="Times New Roman;serif" w:hAnsi="Times New Roman;serif"/>
            <w:b w:val="false"/>
            <w:color w:val="0000FF"/>
            <w:sz w:val="20"/>
            <w:u w:val="single"/>
          </w:rPr>
          <w:t>Table of Contents</w:t>
        </w:r>
      </w:hyperlink>
    </w:p>
    <w:p>
      <w:pPr>
        <w:pStyle w:val="TextBody"/>
        <w:bidi w:val="0"/>
        <w:spacing w:lineRule="auto" w:line="288" w:before="40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Sotera Health Company </w:t>
      </w:r>
    </w:p>
    <w:p>
      <w:pPr>
        <w:pStyle w:val="TextBody"/>
        <w:bidi w:val="0"/>
        <w:spacing w:lineRule="auto" w:line="288" w:before="60" w:after="240"/>
        <w:jc w:val="center"/>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provision for income taxes for the years ended December 31, 2024 and 2023 is reconciled with the U.S. federal statutory rate as follows: </w:t>
      </w:r>
    </w:p>
    <w:tbl>
      <w:tblPr>
        <w:tblW w:w="6399" w:type="dxa"/>
        <w:jc w:val="left"/>
        <w:tblInd w:w="0" w:type="dxa"/>
        <w:tblLayout w:type="fixed"/>
        <w:tblCellMar>
          <w:top w:w="28" w:type="dxa"/>
          <w:left w:w="28" w:type="dxa"/>
          <w:bottom w:w="28" w:type="dxa"/>
          <w:right w:w="28" w:type="dxa"/>
        </w:tblCellMar>
      </w:tblPr>
      <w:tblGrid>
        <w:gridCol w:w="1430"/>
        <w:gridCol w:w="1256"/>
        <w:gridCol w:w="1259"/>
        <w:gridCol w:w="211"/>
        <w:gridCol w:w="721"/>
        <w:gridCol w:w="109"/>
        <w:gridCol w:w="109"/>
        <w:gridCol w:w="109"/>
        <w:gridCol w:w="109"/>
        <w:gridCol w:w="211"/>
        <w:gridCol w:w="721"/>
        <w:gridCol w:w="154"/>
      </w:tblGrid>
      <w:tr>
        <w:trPr/>
        <w:tc>
          <w:tcPr>
            <w:tcW w:w="1430"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(thousands of U.S. dollars)</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u w:val="single"/>
              </w:rPr>
            </w:pPr>
            <w:r>
              <w:rPr>
                <w:rFonts w:ascii="Times New Roman;serif" w:hAnsi="Times New Roman;serif"/>
                <w:b/>
                <w:color w:val="000000"/>
                <w:sz w:val="16"/>
                <w:u w:val="single"/>
              </w:rPr>
              <w:t>Year ended December 31,</w:t>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computed at federal statutory rate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22,265 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(decrease) in taxes as a result of:</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 taxes, net of federal benefit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Valuation allowance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Global intangible low-tax income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Nondeductible share-based compensation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tax rate differential</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Impact of rate changes on deferred tax balances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holiday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Audit settlement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credits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color w:val="000000"/>
                <w:sz w:val="20"/>
              </w:rPr>
            </w:pPr>
            <w:r>
              <w:rPr>
                <w:rFonts w:ascii="Times New Roman;serif" w:hAnsi="Times New Roman;serif"/>
                <w:b/>
                <w:color w:val="000000"/>
                <w:sz w:val="20"/>
              </w:rPr>
              <w:t>Total provision for income taxes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69,476 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54,651 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components of the tax effects of temporary differences and carryforwards that gave rise to significant portions of the deferred tax assets and liabilities are as follows: </w:t>
      </w:r>
    </w:p>
    <w:tbl>
      <w:tblPr>
        <w:tblW w:w="6474" w:type="dxa"/>
        <w:jc w:val="left"/>
        <w:tblInd w:w="0" w:type="dxa"/>
        <w:tblLayout w:type="fixed"/>
        <w:tblCellMar>
          <w:top w:w="28" w:type="dxa"/>
          <w:left w:w="28" w:type="dxa"/>
          <w:bottom w:w="28" w:type="dxa"/>
          <w:right w:w="28" w:type="dxa"/>
        </w:tblCellMar>
      </w:tblPr>
      <w:tblGrid>
        <w:gridCol w:w="1402"/>
        <w:gridCol w:w="1232"/>
        <w:gridCol w:w="1236"/>
        <w:gridCol w:w="211"/>
        <w:gridCol w:w="796"/>
        <w:gridCol w:w="109"/>
        <w:gridCol w:w="109"/>
        <w:gridCol w:w="109"/>
        <w:gridCol w:w="109"/>
        <w:gridCol w:w="211"/>
        <w:gridCol w:w="796"/>
        <w:gridCol w:w="154"/>
      </w:tblGrid>
      <w:tr>
        <w:trPr/>
        <w:tc>
          <w:tcPr>
            <w:tcW w:w="1402"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(thousands of U.S. dollars)</w:t>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8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u w:val="single"/>
              </w:rPr>
            </w:pPr>
            <w:r>
              <w:rPr>
                <w:rFonts w:ascii="Times New Roman;serif" w:hAnsi="Times New Roman;serif"/>
                <w:b/>
                <w:color w:val="000000"/>
                <w:sz w:val="16"/>
                <w:u w:val="single"/>
              </w:rPr>
              <w:t>As of December 31,</w:t>
            </w:r>
          </w:p>
        </w:tc>
        <w:tc>
          <w:tcPr>
            <w:tcW w:w="11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operating loss carryforwards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57,210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56,097 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capital loss carryforwards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3,652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Reserves and accruals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16,532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benefits and compensation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12,636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 retirement obligations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12,432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liability</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16,462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Disallowed interest carryforward</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186,937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167,369 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10,690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assets before valuation allowance</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316,551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279,715 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Valuation allowance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(172,294)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(160,595)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color w:val="000000"/>
                <w:sz w:val="20"/>
              </w:rPr>
            </w:pPr>
            <w:r>
              <w:rPr>
                <w:rFonts w:ascii="Times New Roman;serif" w:hAnsi="Times New Roman;serif"/>
                <w:b/>
                <w:color w:val="000000"/>
                <w:sz w:val="20"/>
              </w:rPr>
              <w:t>Net deferred tax assets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144,257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119,120 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(188,522)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(170,646)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Reserves and accruals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(15,207)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(11,240)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(7,750)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deferred tax liabilities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(211,479)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(185,755)</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color w:val="000000"/>
                <w:sz w:val="20"/>
              </w:rPr>
            </w:pPr>
            <w:r>
              <w:rPr>
                <w:rFonts w:ascii="Times New Roman;serif" w:hAnsi="Times New Roman;serif"/>
                <w:b/>
                <w:color w:val="000000"/>
                <w:sz w:val="20"/>
              </w:rPr>
              <w:t>Net deferred tax liabilities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(67,222)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(66,635)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net deferred tax assets</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3,853</w:t>
            </w: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2,865 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net deferred tax liabilities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(71,075)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color w:val="000000"/>
                <w:sz w:val="20"/>
              </w:rPr>
            </w:pPr>
            <w:r>
              <w:rPr>
                <w:rFonts w:ascii="Times New Roman;serif" w:hAnsi="Times New Roman;serif"/>
                <w:b/>
                <w:color w:val="000000"/>
                <w:sz w:val="20"/>
              </w:rPr>
              <w:t>Noncurrent net deferred tax liabilities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(67,222)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(66,635)</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On July 4, 2025, the One Big Beautiful Bill Act (“OBBBA”) was enacted in the U.S. The OBBBA includes a broad range of tax reform provisions, such as the permanent extension of certain expiring provisions of the Tax Cuts and Jobs Act of 2017, modifications to the international tax framework and the restoration of favorable tax treatment for certain business provisions. The Company has included the impact of the provisions effective in its 2025 consolidated financial statements, recording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7"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85</w:t>
                      </w:r>
                    </w:p>
                  </w:txbxContent>
                </v:textbox>
                <w10:wrap type="none"/>
              </v:rect>
            </w:pict>
          </mc:Fallback>
        </mc:AlternateContent>
      </w:r>
    </w:p>
    <w:p>
      <w:pPr>
        <w:pStyle w:val="TextBody"/>
        <w:bidi w:val="0"/>
        <w:spacing w:lineRule="auto" w:line="288" w:before="0" w:after="0"/>
        <w:jc w:val="left"/>
        <w:rPr/>
      </w:pPr>
      <w:hyperlink w:anchor="i27c953b2e3004595bc062f37867a09bd_7">
        <w:r>
          <w:rPr>
            <w:rStyle w:val="InternetLink"/>
            <w:rFonts w:ascii="Times New Roman;serif" w:hAnsi="Times New Roman;serif"/>
            <w:b w:val="false"/>
            <w:color w:val="0000FF"/>
            <w:sz w:val="20"/>
            <w:u w:val="single"/>
          </w:rPr>
          <w:t>Table of Contents</w:t>
        </w:r>
      </w:hyperlink>
    </w:p>
    <w:p>
      <w:pPr>
        <w:pStyle w:val="TextBody"/>
        <w:bidi w:val="0"/>
        <w:spacing w:lineRule="auto" w:line="288" w:before="40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Sotera Health Company </w:t>
      </w:r>
    </w:p>
    <w:p>
      <w:pPr>
        <w:pStyle w:val="TextBody"/>
        <w:bidi w:val="0"/>
        <w:spacing w:lineRule="auto" w:line="288" w:before="60" w:after="240"/>
        <w:jc w:val="center"/>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$16.6 million tax benefit related to the reduction of the valuation allowance attributable to the change in the limitation on the deductibility of interest expense. There were no other material impacts to the Company’s results of operations or financial condition.</w:t>
      </w:r>
    </w:p>
    <w:p>
      <w:pPr>
        <w:pStyle w:val="TextBody"/>
        <w:bidi w:val="0"/>
        <w:spacing w:lineRule="auto" w:line="288" w:before="200" w:after="283"/>
        <w:jc w:val="left"/>
        <w:rPr/>
      </w:pPr>
      <w:r>
        <w:rPr>
          <w:rFonts w:ascii="Times New Roman;serif" w:hAnsi="Times New Roman;serif"/>
          <w:b w:val="false"/>
          <w:color w:val="000000"/>
          <w:sz w:val="20"/>
        </w:rPr>
        <w:t>At December 31, 2025 and 2024, the Company had available U.S. federal net operating loss carryforwards of $155.4 million and $164.1 million, respectively, which have no expiration date. At December 31, 2025 and 2024, the Company had available state net operating loss carryforwards of $299.5 million and $293.8 million, respectively, of which $64.1 million and $89.6 million</w:t>
      </w:r>
      <w:r>
        <w:rPr>
          <w:color w:val="000000"/>
        </w:rPr>
        <w:t xml:space="preserve"> </w:t>
      </w:r>
      <w:r>
        <w:rPr>
          <w:rFonts w:ascii="Times New Roman;serif" w:hAnsi="Times New Roman;serif"/>
          <w:b w:val="false"/>
          <w:color w:val="000000"/>
          <w:sz w:val="20"/>
        </w:rPr>
        <w:t xml:space="preserve">have no expiration date, and foreign net operating loss carryforwards of approximately $32.6 million and $21.4 million, respectively, the majority of which have no expiration date. At December 31, 2025 and 2024, a valuation allowance was established against foreign net operating loss carryforwards for $5.4 million and $3.6 million, respectively. At December 31, 2025 we established a valuation allowance against U.S. federal net operating loss carryforwards of $0.8 million. At December 31, 2025 and 2024, we also established a valuation allowance against U.S. state net operating loss carryforwards for $17.2 million and $12.5 million, respectively. Based on management’s assessment, it is not more likely than not that these deferred tax assets will be realized through future taxable income.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At December 31, 2025 and 2024, the deferred tax liability balance related to repatriation of earnings not deemed to be indefinitely reinvested was $7.8 million and $3.8 million, respectively. Determining the amount of unrecognized deferred tax liability related to any remaining undistributed foreign earnings not subject to the transition tax and additional outside basis difference in these entities (i.e., basis difference in excess of that subject to the one-time transition tax) is not practicable.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recognizes interest and penalties as part of the provision for income taxes. For the years ended December 31, 2025, 2024 and 2023, interest and penalties related to uncertain income tax positions that were recognized in the Consolidated Statements of Operations and Comprehensive Income (Loss) were not material.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which represents all of its subsidiaries, files income tax returns in the U.S. federal jurisdiction and various states and foreign jurisdictions. The Company is no longer subject to U.S. federal, state, and local tax examinations before 2016, and non-U.S. income tax examinations by tax authorities for years before 2012. Tax years through December 31, 2018 have been audited by the Internal Revenue Service and are effectively closed for U.S. federal income tax purposes and no other fiscal years are currently under audit. For Nordion’s Canadian tax, all tax years through October 31, 2018 have been closed through audit or statute, and no other fiscal years are currently under audit.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A portion of the Company’s foreign operations benefit from a tax holiday, which is set to expire in 2030. This tax holiday may be terminated early if certain conditions are not met. The tax benefit attributable to this holiday was $1.1 million and $1.3 million for the fiscal years ended December 31, 2025 and 2024, respectively.</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amounts of income taxes paid (net of refunds received) disaggregated by federal, state, and foreign taxes for the year ended December 31, 2025 were as follows:</w:t>
      </w:r>
    </w:p>
    <w:tbl>
      <w:tblPr>
        <w:tblW w:w="7225" w:type="dxa"/>
        <w:jc w:val="left"/>
        <w:tblInd w:w="0" w:type="dxa"/>
        <w:tblLayout w:type="fixed"/>
        <w:tblCellMar>
          <w:top w:w="28" w:type="dxa"/>
          <w:left w:w="28" w:type="dxa"/>
          <w:bottom w:w="28" w:type="dxa"/>
          <w:right w:w="28" w:type="dxa"/>
        </w:tblCellMar>
      </w:tblPr>
      <w:tblGrid>
        <w:gridCol w:w="1760"/>
        <w:gridCol w:w="1545"/>
        <w:gridCol w:w="1554"/>
        <w:gridCol w:w="211"/>
        <w:gridCol w:w="736"/>
        <w:gridCol w:w="109"/>
        <w:gridCol w:w="109"/>
        <w:gridCol w:w="109"/>
        <w:gridCol w:w="109"/>
        <w:gridCol w:w="255"/>
        <w:gridCol w:w="256"/>
        <w:gridCol w:w="472"/>
      </w:tblGrid>
      <w:tr>
        <w:trPr/>
        <w:tc>
          <w:tcPr>
            <w:tcW w:w="1760" w:type="dxa"/>
            <w:tcBorders/>
            <w:vAlign w:val="center"/>
          </w:tcPr>
          <w:p>
            <w:pPr>
              <w:pStyle w:val="TableContents"/>
              <w:bidi w:val="0"/>
              <w:spacing w:before="0" w:after="283"/>
              <w:jc w:val="left"/>
              <w:rPr>
                <w:sz w:val="4"/>
                <w:szCs w:val="4"/>
              </w:rPr>
            </w:pPr>
            <w:r>
              <w:rPr>
                <w:sz w:val="4"/>
                <w:szCs w:val="4"/>
              </w:rPr>
            </w:r>
          </w:p>
        </w:tc>
        <w:tc>
          <w:tcPr>
            <w:tcW w:w="1545" w:type="dxa"/>
            <w:tcBorders/>
            <w:vAlign w:val="center"/>
          </w:tcPr>
          <w:p>
            <w:pPr>
              <w:pStyle w:val="TableContents"/>
              <w:bidi w:val="0"/>
              <w:spacing w:before="0" w:after="283"/>
              <w:jc w:val="left"/>
              <w:rPr>
                <w:sz w:val="4"/>
                <w:szCs w:val="4"/>
              </w:rPr>
            </w:pPr>
            <w:r>
              <w:rPr>
                <w:sz w:val="4"/>
                <w:szCs w:val="4"/>
              </w:rPr>
            </w:r>
          </w:p>
        </w:tc>
        <w:tc>
          <w:tcPr>
            <w:tcW w:w="15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r>
      <w:tr>
        <w:trPr/>
        <w:tc>
          <w:tcPr>
            <w:tcW w:w="48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Year ended December 31,</w:t>
            </w:r>
          </w:p>
        </w:tc>
        <w:tc>
          <w:tcPr>
            <w:tcW w:w="236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8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(thousands of US dollars)</w:t>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Percent</w:t>
            </w:r>
          </w:p>
        </w:tc>
      </w:tr>
      <w:tr>
        <w:trPr/>
        <w:tc>
          <w:tcPr>
            <w:tcW w:w="4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Federal U.S.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4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 U.S.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Canada</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56.8 </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Belgium</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4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Kingdom</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Mexico</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4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 other foreign countries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15.8 </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cash paid for income taxes, net of refunds received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60,873</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8"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86</w:t>
                      </w:r>
                    </w:p>
                  </w:txbxContent>
                </v:textbox>
                <w10:wrap type="none"/>
              </v:rect>
            </w:pict>
          </mc:Fallback>
        </mc:AlternateContent>
      </w:r>
    </w:p>
    <w:p>
      <w:pPr>
        <w:pStyle w:val="TextBody"/>
        <w:bidi w:val="0"/>
        <w:spacing w:lineRule="auto" w:line="288" w:before="0" w:after="0"/>
        <w:jc w:val="left"/>
        <w:rPr/>
      </w:pPr>
      <w:hyperlink w:anchor="i27c953b2e3004595bc062f37867a09bd_7">
        <w:r>
          <w:rPr>
            <w:rStyle w:val="InternetLink"/>
            <w:rFonts w:ascii="Times New Roman;serif" w:hAnsi="Times New Roman;serif"/>
            <w:b w:val="false"/>
            <w:color w:val="0000FF"/>
            <w:sz w:val="20"/>
            <w:u w:val="single"/>
          </w:rPr>
          <w:t>Table of Contents</w:t>
        </w:r>
      </w:hyperlink>
    </w:p>
    <w:p>
      <w:pPr>
        <w:pStyle w:val="TextBody"/>
        <w:bidi w:val="0"/>
        <w:spacing w:lineRule="auto" w:line="288" w:before="40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Sotera Health Company </w:t>
      </w:r>
    </w:p>
    <w:p>
      <w:pPr>
        <w:pStyle w:val="TextBody"/>
        <w:bidi w:val="0"/>
        <w:spacing w:lineRule="auto" w:line="288" w:before="60" w:after="240"/>
        <w:jc w:val="center"/>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w:t>
      </w:r>
    </w:p>
    <w:p>
      <w:pPr>
        <w:pStyle w:val="TextBody"/>
        <w:bidi w:val="0"/>
        <w:spacing w:lineRule="auto" w:line="288" w:before="360" w:after="283"/>
        <w:ind w:left="0" w:right="0" w:hanging="360"/>
        <w:jc w:val="left"/>
        <w:rPr>
          <w:rFonts w:ascii="Times New Roman;serif" w:hAnsi="Times New Roman;serif"/>
          <w:b/>
          <w:color w:val="000000"/>
          <w:sz w:val="20"/>
        </w:rPr>
      </w:pPr>
      <w:r>
        <w:rPr>
          <w:rFonts w:ascii="Times New Roman;serif" w:hAnsi="Times New Roman;serif"/>
          <w:b/>
          <w:color w:val="000000"/>
          <w:sz w:val="20"/>
        </w:rPr>
        <w:t>11.Employee Benefits</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Employee Retirement Benefits in the U.S.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have a defined-contribution retirement plan that covers all U.S. employees upon date of hire. Contributions are directed by each participant into various investment options. Under this plan, we match participants’ contributions based on plan provisions. The Company’s contributions, which are expensed as incurred, were $6.0 million, $6.0 million, and $5.7 million for the years ended December 31, 2025, 2024 and 2023, respectively, and are recorded in the same line as the respective employee’s wages. Administrative expenses related to the plan are paid by the Company and are not material. </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Employee Retirement Benefits Outside the U.S.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Company participates in qualified supplemental retirement and savings plans in various countries outside the U.S. where we operate. Under these defined-contribution plans, funding and costs are generally based upon a predetermined percentage of employee compensation. The Company’s contributions, which are expensed as incurred and recorded in the same line as the respective employee’s wages, were $2.0 million, $1.7 million and $1.7 million for the years ended December 31, 2025, 2024 and 2023, respectively.</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Defined Benefit Pension Plans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Company also sponsors various post-employment benefit plans including, in certain countries outside the U.S., defined benefit and defined contribution plans, retirement compensation arrangements, and plans that provide extended health care coverage to retired employees, the majority of which relate to Nordion.</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Defined benefit pension plan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defined benefit pension plan disclosure relates to Nordion. Certain immaterial foreign defined benefit pension plans have been excluded from the table below. The interest cost, expected return on plan assets and amortization of net actuarial loss are recorded in “Other income, net” and the service cost component is included in the same financial statement line item as the applicable employee’s wages in the Consolidated Statements of Operations and Comprehensive Income (Loss). The components of net periodic pension benefit for the defined benefit plans were as follows: </w:t>
      </w:r>
    </w:p>
    <w:tbl>
      <w:tblPr>
        <w:tblW w:w="6311" w:type="dxa"/>
        <w:jc w:val="left"/>
        <w:tblInd w:w="0" w:type="dxa"/>
        <w:tblLayout w:type="fixed"/>
        <w:tblCellMar>
          <w:top w:w="28" w:type="dxa"/>
          <w:left w:w="28" w:type="dxa"/>
          <w:bottom w:w="28" w:type="dxa"/>
          <w:right w:w="28" w:type="dxa"/>
        </w:tblCellMar>
      </w:tblPr>
      <w:tblGrid>
        <w:gridCol w:w="932"/>
        <w:gridCol w:w="822"/>
        <w:gridCol w:w="825"/>
        <w:gridCol w:w="211"/>
        <w:gridCol w:w="691"/>
        <w:gridCol w:w="109"/>
        <w:gridCol w:w="109"/>
        <w:gridCol w:w="109"/>
        <w:gridCol w:w="109"/>
        <w:gridCol w:w="211"/>
        <w:gridCol w:w="691"/>
        <w:gridCol w:w="109"/>
        <w:gridCol w:w="109"/>
        <w:gridCol w:w="109"/>
        <w:gridCol w:w="109"/>
        <w:gridCol w:w="211"/>
        <w:gridCol w:w="691"/>
        <w:gridCol w:w="154"/>
      </w:tblGrid>
      <w:tr>
        <w:trPr/>
        <w:tc>
          <w:tcPr>
            <w:tcW w:w="932"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u w:val="single"/>
              </w:rPr>
            </w:pPr>
            <w:r>
              <w:rPr>
                <w:rFonts w:ascii="Times New Roman;serif" w:hAnsi="Times New Roman;serif"/>
                <w:b/>
                <w:color w:val="000000"/>
                <w:sz w:val="16"/>
                <w:u w:val="single"/>
              </w:rPr>
              <w:t>Year ended December 31,</w:t>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(thousands of U.S. dollars)</w:t>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 cost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495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cost</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9,478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return on plan assets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(15,825)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(16,108)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color w:val="000000"/>
                <w:sz w:val="20"/>
              </w:rPr>
            </w:pPr>
            <w:r>
              <w:rPr>
                <w:rFonts w:ascii="Times New Roman;serif" w:hAnsi="Times New Roman;serif"/>
                <w:b/>
                <w:color w:val="000000"/>
                <w:sz w:val="20"/>
              </w:rPr>
              <w:t>Net periodic benefit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(5,852)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(4,666)</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weighted average assumptions were used in the determination of the PBO and the net periodic benefit: </w:t>
      </w:r>
    </w:p>
    <w:tbl>
      <w:tblPr>
        <w:tblW w:w="4575" w:type="dxa"/>
        <w:jc w:val="left"/>
        <w:tblInd w:w="0" w:type="dxa"/>
        <w:tblLayout w:type="fixed"/>
        <w:tblCellMar>
          <w:top w:w="28" w:type="dxa"/>
          <w:left w:w="28" w:type="dxa"/>
          <w:bottom w:w="28" w:type="dxa"/>
          <w:right w:w="28" w:type="dxa"/>
        </w:tblCellMar>
      </w:tblPr>
      <w:tblGrid>
        <w:gridCol w:w="938"/>
        <w:gridCol w:w="827"/>
        <w:gridCol w:w="829"/>
        <w:gridCol w:w="263"/>
        <w:gridCol w:w="263"/>
        <w:gridCol w:w="301"/>
        <w:gridCol w:w="109"/>
        <w:gridCol w:w="109"/>
        <w:gridCol w:w="109"/>
        <w:gridCol w:w="255"/>
        <w:gridCol w:w="256"/>
        <w:gridCol w:w="316"/>
      </w:tblGrid>
      <w:tr>
        <w:trPr/>
        <w:tc>
          <w:tcPr>
            <w:tcW w:w="938"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u w:val="single"/>
              </w:rPr>
            </w:pPr>
            <w:r>
              <w:rPr>
                <w:rFonts w:ascii="Times New Roman;serif" w:hAnsi="Times New Roman;serif"/>
                <w:b/>
                <w:color w:val="000000"/>
                <w:sz w:val="16"/>
                <w:u w:val="single"/>
              </w:rPr>
              <w:t>Year ended December 31,</w:t>
            </w:r>
          </w:p>
        </w:tc>
        <w:tc>
          <w:tcPr>
            <w:tcW w:w="8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Projected benefit obligation</w:t>
            </w:r>
          </w:p>
        </w:tc>
        <w:tc>
          <w:tcPr>
            <w:tcW w:w="8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Discount rate</w:t>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4.82</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Rate of compensation increase</w:t>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3.00</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Periodic benefit</w:t>
            </w:r>
          </w:p>
        </w:tc>
        <w:tc>
          <w:tcPr>
            <w:tcW w:w="8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Discount rate</w:t>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4.65</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return on plan assets</w:t>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6.00</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Rate of compensation increase</w:t>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3.00</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9"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87</w:t>
                      </w:r>
                    </w:p>
                  </w:txbxContent>
                </v:textbox>
                <w10:wrap type="none"/>
              </v:rect>
            </w:pict>
          </mc:Fallback>
        </mc:AlternateContent>
      </w:r>
    </w:p>
    <w:p>
      <w:pPr>
        <w:pStyle w:val="TextBody"/>
        <w:bidi w:val="0"/>
        <w:spacing w:lineRule="auto" w:line="288" w:before="0" w:after="0"/>
        <w:jc w:val="left"/>
        <w:rPr/>
      </w:pPr>
      <w:hyperlink w:anchor="i27c953b2e3004595bc062f37867a09bd_7">
        <w:r>
          <w:rPr>
            <w:rStyle w:val="InternetLink"/>
            <w:rFonts w:ascii="Times New Roman;serif" w:hAnsi="Times New Roman;serif"/>
            <w:b w:val="false"/>
            <w:color w:val="0000FF"/>
            <w:sz w:val="20"/>
            <w:u w:val="single"/>
          </w:rPr>
          <w:t>Table of Contents</w:t>
        </w:r>
      </w:hyperlink>
    </w:p>
    <w:p>
      <w:pPr>
        <w:pStyle w:val="TextBody"/>
        <w:bidi w:val="0"/>
        <w:spacing w:lineRule="auto" w:line="288" w:before="40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Sotera Health Company </w:t>
      </w:r>
    </w:p>
    <w:p>
      <w:pPr>
        <w:pStyle w:val="TextBody"/>
        <w:bidi w:val="0"/>
        <w:spacing w:lineRule="auto" w:line="288" w:before="60" w:after="240"/>
        <w:jc w:val="center"/>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changes in the PBO, fair value of plan assets, and the funded status of the plans are as follows: </w:t>
      </w:r>
    </w:p>
    <w:tbl>
      <w:tblPr>
        <w:tblW w:w="7328" w:type="dxa"/>
        <w:jc w:val="left"/>
        <w:tblInd w:w="0" w:type="dxa"/>
        <w:tblLayout w:type="fixed"/>
        <w:tblCellMar>
          <w:top w:w="28" w:type="dxa"/>
          <w:left w:w="28" w:type="dxa"/>
          <w:bottom w:w="28" w:type="dxa"/>
          <w:right w:w="28" w:type="dxa"/>
        </w:tblCellMar>
      </w:tblPr>
      <w:tblGrid>
        <w:gridCol w:w="1685"/>
        <w:gridCol w:w="1480"/>
        <w:gridCol w:w="1484"/>
        <w:gridCol w:w="211"/>
        <w:gridCol w:w="841"/>
        <w:gridCol w:w="109"/>
        <w:gridCol w:w="109"/>
        <w:gridCol w:w="109"/>
        <w:gridCol w:w="109"/>
        <w:gridCol w:w="211"/>
        <w:gridCol w:w="826"/>
        <w:gridCol w:w="154"/>
      </w:tblGrid>
      <w:tr>
        <w:trPr/>
        <w:tc>
          <w:tcPr>
            <w:tcW w:w="1685" w:type="dxa"/>
            <w:tcBorders/>
            <w:vAlign w:val="center"/>
          </w:tcPr>
          <w:p>
            <w:pPr>
              <w:pStyle w:val="TableContents"/>
              <w:bidi w:val="0"/>
              <w:spacing w:before="0" w:after="283"/>
              <w:jc w:val="left"/>
              <w:rPr>
                <w:sz w:val="4"/>
                <w:szCs w:val="4"/>
              </w:rPr>
            </w:pPr>
            <w:r>
              <w:rPr>
                <w:sz w:val="4"/>
                <w:szCs w:val="4"/>
              </w:rPr>
            </w:r>
          </w:p>
        </w:tc>
        <w:tc>
          <w:tcPr>
            <w:tcW w:w="1480" w:type="dxa"/>
            <w:tcBorders/>
            <w:vAlign w:val="center"/>
          </w:tcPr>
          <w:p>
            <w:pPr>
              <w:pStyle w:val="TableContents"/>
              <w:bidi w:val="0"/>
              <w:spacing w:before="0" w:after="283"/>
              <w:jc w:val="left"/>
              <w:rPr>
                <w:sz w:val="4"/>
                <w:szCs w:val="4"/>
              </w:rPr>
            </w:pPr>
            <w:r>
              <w:rPr>
                <w:sz w:val="4"/>
                <w:szCs w:val="4"/>
              </w:rPr>
            </w:r>
          </w:p>
        </w:tc>
        <w:tc>
          <w:tcPr>
            <w:tcW w:w="14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(thousands of U.S. dollars)</w:t>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6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u w:val="single"/>
              </w:rPr>
            </w:pPr>
            <w:r>
              <w:rPr>
                <w:rFonts w:ascii="Times New Roman;serif" w:hAnsi="Times New Roman;serif"/>
                <w:b/>
                <w:color w:val="000000"/>
                <w:sz w:val="16"/>
                <w:u w:val="single"/>
              </w:rPr>
              <w:t>As of December 31,</w:t>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projected benefit obligation:</w:t>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Projected benefit obligation, as of beginning of the year</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220,633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239,947 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 cost</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635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cost</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9,478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Benefits paid</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(12,468)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(12,737)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Actuarial (gain) loss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(4,105)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exchange rate changes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10,561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(18,679)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color w:val="000000"/>
                <w:sz w:val="20"/>
              </w:rPr>
            </w:pPr>
            <w:r>
              <w:rPr>
                <w:rFonts w:ascii="Times New Roman;serif" w:hAnsi="Times New Roman;serif"/>
                <w:b/>
                <w:color w:val="000000"/>
                <w:sz w:val="20"/>
              </w:rPr>
              <w:t>Projected benefit obligation, end of year</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224,734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220,633 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plan assets:</w:t>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of plan assets as of the beginning of the year</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262,703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268,424 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Actual return on plan assets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13,764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Benefits paid</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(12,468)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(12,737)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Employer contributions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515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contributions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exchange rate changes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12,766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(21,675)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color w:val="000000"/>
                <w:sz w:val="20"/>
              </w:rPr>
            </w:pPr>
            <w:r>
              <w:rPr>
                <w:rFonts w:ascii="Times New Roman;serif" w:hAnsi="Times New Roman;serif"/>
                <w:b/>
                <w:color w:val="000000"/>
                <w:sz w:val="20"/>
              </w:rPr>
              <w:t>Fair value of plan assets, end of year</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277,420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262,703 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color w:val="000000"/>
                <w:sz w:val="20"/>
              </w:rPr>
            </w:pPr>
            <w:r>
              <w:rPr>
                <w:rFonts w:ascii="Times New Roman;serif" w:hAnsi="Times New Roman;serif"/>
                <w:b/>
                <w:color w:val="000000"/>
                <w:sz w:val="20"/>
              </w:rPr>
              <w:t>Funded status at end of year</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52,686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color w:val="000000"/>
                <w:sz w:val="20"/>
              </w:rPr>
            </w:pPr>
            <w:r>
              <w:rPr>
                <w:rFonts w:ascii="Times New Roman;serif" w:hAnsi="Times New Roman;serif"/>
                <w:b/>
                <w:color w:val="000000"/>
                <w:sz w:val="20"/>
              </w:rPr>
              <w:t>Accumulated benefit obligation, end of year</w:t>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222,331</w:t>
            </w:r>
            <w:r>
              <w:rPr>
                <w:color w:val="000000"/>
              </w:rPr>
              <w:t>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218,122 </w:t>
            </w:r>
          </w:p>
        </w:tc>
        <w:tc>
          <w:tcPr>
            <w:tcW w:w="154"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Nordion defined benefit pension plan was overfunded as of December 31, 2025 and December 31, 2024.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funded status, measured as the difference between the fair value of the plan assets and the PBO, are included in “Post-retirement assets” for overfunded plans and “Post-retirement obligations” for underfunded plans in the Consolidated Balance Sheets.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 reconciliation of the funded status to amounts recognized in the Consolidated Balance Sheets is as follows: </w:t>
      </w:r>
    </w:p>
    <w:tbl>
      <w:tblPr>
        <w:tblW w:w="8559" w:type="dxa"/>
        <w:jc w:val="left"/>
        <w:tblInd w:w="0" w:type="dxa"/>
        <w:tblLayout w:type="fixed"/>
        <w:tblCellMar>
          <w:top w:w="28" w:type="dxa"/>
          <w:left w:w="28" w:type="dxa"/>
          <w:bottom w:w="28" w:type="dxa"/>
          <w:right w:w="28" w:type="dxa"/>
        </w:tblCellMar>
      </w:tblPr>
      <w:tblGrid>
        <w:gridCol w:w="2131"/>
        <w:gridCol w:w="1872"/>
        <w:gridCol w:w="1877"/>
        <w:gridCol w:w="211"/>
        <w:gridCol w:w="841"/>
        <w:gridCol w:w="109"/>
        <w:gridCol w:w="109"/>
        <w:gridCol w:w="109"/>
        <w:gridCol w:w="109"/>
        <w:gridCol w:w="211"/>
        <w:gridCol w:w="826"/>
        <w:gridCol w:w="154"/>
      </w:tblGrid>
      <w:tr>
        <w:trPr/>
        <w:tc>
          <w:tcPr>
            <w:tcW w:w="2131" w:type="dxa"/>
            <w:tcBorders/>
            <w:vAlign w:val="center"/>
          </w:tcPr>
          <w:p>
            <w:pPr>
              <w:pStyle w:val="TableContents"/>
              <w:bidi w:val="0"/>
              <w:spacing w:before="0" w:after="283"/>
              <w:jc w:val="left"/>
              <w:rPr>
                <w:sz w:val="4"/>
                <w:szCs w:val="4"/>
              </w:rPr>
            </w:pPr>
            <w:r>
              <w:rPr>
                <w:sz w:val="4"/>
                <w:szCs w:val="4"/>
              </w:rPr>
            </w:r>
          </w:p>
        </w:tc>
        <w:tc>
          <w:tcPr>
            <w:tcW w:w="1872" w:type="dxa"/>
            <w:tcBorders/>
            <w:vAlign w:val="center"/>
          </w:tcPr>
          <w:p>
            <w:pPr>
              <w:pStyle w:val="TableContents"/>
              <w:bidi w:val="0"/>
              <w:spacing w:before="0" w:after="283"/>
              <w:jc w:val="left"/>
              <w:rPr>
                <w:sz w:val="4"/>
                <w:szCs w:val="4"/>
              </w:rPr>
            </w:pPr>
            <w:r>
              <w:rPr>
                <w:sz w:val="4"/>
                <w:szCs w:val="4"/>
              </w:rPr>
            </w:r>
          </w:p>
        </w:tc>
        <w:tc>
          <w:tcPr>
            <w:tcW w:w="18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(thousands of U.S. dollars)</w:t>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8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u w:val="single"/>
              </w:rPr>
            </w:pPr>
            <w:r>
              <w:rPr>
                <w:rFonts w:ascii="Times New Roman;serif" w:hAnsi="Times New Roman;serif"/>
                <w:b/>
                <w:color w:val="000000"/>
                <w:sz w:val="16"/>
                <w:u w:val="single"/>
              </w:rPr>
              <w:t>As of December 31,</w:t>
            </w:r>
          </w:p>
        </w:tc>
        <w:tc>
          <w:tcPr>
            <w:tcW w:w="11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5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Projected benefit obligation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224,734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220,633 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of plan assets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277,420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262,703 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Plan assets greater than projected benefit obligation (noncurrent assets)</w:t>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52,686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42,070 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Unrecognized net actuarial gain</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2,196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illustrates the amounts in accumulated other comprehensive income (loss) that have not yet been recognized as components of pension expense: </w:t>
      </w:r>
    </w:p>
    <w:tbl>
      <w:tblPr>
        <w:tblW w:w="6788" w:type="dxa"/>
        <w:jc w:val="left"/>
        <w:tblInd w:w="0" w:type="dxa"/>
        <w:tblLayout w:type="fixed"/>
        <w:tblCellMar>
          <w:top w:w="28" w:type="dxa"/>
          <w:left w:w="28" w:type="dxa"/>
          <w:bottom w:w="28" w:type="dxa"/>
          <w:right w:w="28" w:type="dxa"/>
        </w:tblCellMar>
      </w:tblPr>
      <w:tblGrid>
        <w:gridCol w:w="1696"/>
        <w:gridCol w:w="1489"/>
        <w:gridCol w:w="1494"/>
        <w:gridCol w:w="211"/>
        <w:gridCol w:w="631"/>
        <w:gridCol w:w="109"/>
        <w:gridCol w:w="109"/>
        <w:gridCol w:w="109"/>
        <w:gridCol w:w="109"/>
        <w:gridCol w:w="211"/>
        <w:gridCol w:w="466"/>
        <w:gridCol w:w="154"/>
      </w:tblGrid>
      <w:tr>
        <w:trPr/>
        <w:tc>
          <w:tcPr>
            <w:tcW w:w="1696" w:type="dxa"/>
            <w:tcBorders/>
            <w:vAlign w:val="center"/>
          </w:tcPr>
          <w:p>
            <w:pPr>
              <w:pStyle w:val="TableContents"/>
              <w:bidi w:val="0"/>
              <w:spacing w:before="0" w:after="283"/>
              <w:jc w:val="left"/>
              <w:rPr>
                <w:sz w:val="4"/>
                <w:szCs w:val="4"/>
              </w:rPr>
            </w:pPr>
            <w:r>
              <w:rPr>
                <w:sz w:val="4"/>
                <w:szCs w:val="4"/>
              </w:rPr>
            </w:r>
          </w:p>
        </w:tc>
        <w:tc>
          <w:tcPr>
            <w:tcW w:w="1489" w:type="dxa"/>
            <w:tcBorders/>
            <w:vAlign w:val="center"/>
          </w:tcPr>
          <w:p>
            <w:pPr>
              <w:pStyle w:val="TableContents"/>
              <w:bidi w:val="0"/>
              <w:spacing w:before="0" w:after="283"/>
              <w:jc w:val="left"/>
              <w:rPr>
                <w:sz w:val="4"/>
                <w:szCs w:val="4"/>
              </w:rPr>
            </w:pPr>
            <w:r>
              <w:rPr>
                <w:sz w:val="4"/>
                <w:szCs w:val="4"/>
              </w:rPr>
            </w:r>
          </w:p>
        </w:tc>
        <w:tc>
          <w:tcPr>
            <w:tcW w:w="14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(thousands of U.S. dollars)</w:t>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6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u w:val="single"/>
              </w:rPr>
            </w:pPr>
            <w:r>
              <w:rPr>
                <w:rFonts w:ascii="Times New Roman;serif" w:hAnsi="Times New Roman;serif"/>
                <w:b/>
                <w:color w:val="000000"/>
                <w:sz w:val="16"/>
                <w:u w:val="single"/>
              </w:rPr>
              <w:t>As of December 31,</w:t>
            </w:r>
          </w:p>
        </w:tc>
        <w:tc>
          <w:tcPr>
            <w:tcW w:w="9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actuarial gain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2,196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color w:val="000000"/>
                <w:sz w:val="20"/>
              </w:rPr>
            </w:pPr>
            <w:r>
              <w:rPr>
                <w:rFonts w:ascii="Times New Roman;serif" w:hAnsi="Times New Roman;serif"/>
                <w:b/>
                <w:color w:val="000000"/>
                <w:sz w:val="20"/>
              </w:rPr>
              <w:t>Accumulated other comprehensive income – net of tax</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1,686</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pPr>
      <w:r>
        <w:rPr>
          <w:rFonts w:ascii="Times New Roman;serif" w:hAnsi="Times New Roman;serif"/>
          <w:b w:val="false"/>
          <w:color w:val="000000"/>
          <w:sz w:val="20"/>
        </w:rPr>
        <w:t>We do not expect to reclassify any of</w:t>
      </w:r>
      <w:r>
        <w:rPr>
          <w:color w:val="000000"/>
          <w:shd w:fill="FFFFFF" w:val="clear"/>
        </w:rPr>
        <w:t xml:space="preserve"> </w:t>
      </w:r>
      <w:r>
        <w:rPr>
          <w:rFonts w:ascii="Times New Roman;serif" w:hAnsi="Times New Roman;serif"/>
          <w:b w:val="false"/>
          <w:color w:val="000000"/>
          <w:sz w:val="20"/>
          <w:shd w:fill="FFFFFF" w:val="clear"/>
        </w:rPr>
        <w:t>the net actuarial gain in</w:t>
      </w:r>
      <w:r>
        <w:rPr>
          <w:color w:val="000000"/>
        </w:rPr>
        <w:t xml:space="preserve"> </w:t>
      </w:r>
      <w:r>
        <w:rPr>
          <w:rFonts w:ascii="Times New Roman;serif" w:hAnsi="Times New Roman;serif"/>
          <w:b w:val="false"/>
          <w:color w:val="000000"/>
          <w:sz w:val="20"/>
        </w:rPr>
        <w:t xml:space="preserve">accumulated other comprehensive income to net periodic pension income in the next twelve months.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90"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88</w:t>
                      </w:r>
                    </w:p>
                  </w:txbxContent>
                </v:textbox>
                <w10:wrap type="none"/>
              </v:rect>
            </w:pict>
          </mc:Fallback>
        </mc:AlternateContent>
      </w:r>
    </w:p>
    <w:p>
      <w:pPr>
        <w:pStyle w:val="TextBody"/>
        <w:bidi w:val="0"/>
        <w:spacing w:lineRule="auto" w:line="288" w:before="0" w:after="0"/>
        <w:jc w:val="left"/>
        <w:rPr/>
      </w:pPr>
      <w:hyperlink w:anchor="i27c953b2e3004595bc062f37867a09bd_7">
        <w:r>
          <w:rPr>
            <w:rStyle w:val="InternetLink"/>
            <w:rFonts w:ascii="Times New Roman;serif" w:hAnsi="Times New Roman;serif"/>
            <w:b w:val="false"/>
            <w:color w:val="0000FF"/>
            <w:sz w:val="20"/>
            <w:u w:val="single"/>
          </w:rPr>
          <w:t>Table of Contents</w:t>
        </w:r>
      </w:hyperlink>
    </w:p>
    <w:p>
      <w:pPr>
        <w:pStyle w:val="TextBody"/>
        <w:bidi w:val="0"/>
        <w:spacing w:lineRule="auto" w:line="288" w:before="40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Sotera Health Company </w:t>
      </w:r>
    </w:p>
    <w:p>
      <w:pPr>
        <w:pStyle w:val="TextBody"/>
        <w:bidi w:val="0"/>
        <w:spacing w:lineRule="auto" w:line="288" w:before="60" w:after="240"/>
        <w:jc w:val="center"/>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weighted average asset allocation of the Company’s pension plans was as follows: </w:t>
      </w:r>
    </w:p>
    <w:tbl>
      <w:tblPr>
        <w:tblW w:w="4724" w:type="dxa"/>
        <w:jc w:val="left"/>
        <w:tblInd w:w="0" w:type="dxa"/>
        <w:tblLayout w:type="fixed"/>
        <w:tblCellMar>
          <w:top w:w="28" w:type="dxa"/>
          <w:left w:w="28" w:type="dxa"/>
          <w:bottom w:w="28" w:type="dxa"/>
          <w:right w:w="28" w:type="dxa"/>
        </w:tblCellMar>
      </w:tblPr>
      <w:tblGrid>
        <w:gridCol w:w="446"/>
        <w:gridCol w:w="391"/>
        <w:gridCol w:w="393"/>
        <w:gridCol w:w="307"/>
        <w:gridCol w:w="309"/>
        <w:gridCol w:w="360"/>
        <w:gridCol w:w="109"/>
        <w:gridCol w:w="109"/>
        <w:gridCol w:w="109"/>
        <w:gridCol w:w="314"/>
        <w:gridCol w:w="317"/>
        <w:gridCol w:w="301"/>
        <w:gridCol w:w="109"/>
        <w:gridCol w:w="109"/>
        <w:gridCol w:w="109"/>
        <w:gridCol w:w="307"/>
        <w:gridCol w:w="309"/>
        <w:gridCol w:w="316"/>
      </w:tblGrid>
      <w:tr>
        <w:trPr/>
        <w:tc>
          <w:tcPr>
            <w:tcW w:w="4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23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6"/>
                <w:u w:val="single"/>
              </w:rPr>
            </w:pPr>
            <w:r>
              <w:rPr>
                <w:rFonts w:ascii="Times New Roman;serif" w:hAnsi="Times New Roman;serif"/>
                <w:b/>
                <w:color w:val="000000"/>
                <w:sz w:val="16"/>
                <w:u w:val="single"/>
              </w:rPr>
              <w:t>Asset Category</w:t>
            </w:r>
          </w:p>
        </w:tc>
        <w:tc>
          <w:tcPr>
            <w:tcW w:w="97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Target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1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0.0 </w:t>
            </w:r>
          </w:p>
        </w:tc>
        <w:tc>
          <w:tcPr>
            <w:tcW w:w="3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0.6</w:t>
            </w:r>
            <w:r>
              <w:rPr>
                <w:color w:val="000000"/>
              </w:rPr>
              <w:t>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income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54.0 </w:t>
            </w:r>
          </w:p>
        </w:tc>
        <w:tc>
          <w:tcPr>
            <w:tcW w:w="3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53.1</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Equities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27.0 </w:t>
            </w:r>
          </w:p>
        </w:tc>
        <w:tc>
          <w:tcPr>
            <w:tcW w:w="3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25.9</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Hedge funds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3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20.4</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3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100.0</w:t>
            </w:r>
            <w:r>
              <w:rPr>
                <w:color w:val="000000"/>
              </w:rPr>
              <w:t> </w:t>
            </w:r>
          </w:p>
        </w:tc>
        <w:tc>
          <w:tcPr>
            <w:tcW w:w="3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maintains target allocation percentages among various asset classes based on investment policies established for the pension plans, which are designed to maximize the total rate of return (income and appreciation) after inflation, within the limits of prudent risk taking, while providing for adequate near-term liquidity for benefit payments. Such investment strategies have adopted an equity-based philosophy to achieve their long-term investment goals by investing in assets that often have uncertain returns, such as Canadian and other foreign equities, and non-government bonds, although the Company also attempts to reduce the overall level of risk by diversifying the asset classes and further diversifying within each individual asset class.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Company’s expected return on asset assumptions are derived from studies conducted by actuaries and investment advisors. The studies include a review of anticipated future long-term performance of individual asset classes and consideration of the appropriate asset allocation strategy given the anticipated requirements of the plans to determine the average rate of earnings expected on the funds invested to provide for the pension plans benefits. While the study considers recent fund performance and historical returns, the assumption is primarily a long-term, prospective rate.</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Valuation Methodologies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Below is a description of the composition and valuation methodologies for pension plan assets. Refer to the discussion of fair value hierarchy in Note 20, “Financial Instruments and Financial Risk.” </w:t>
      </w:r>
    </w:p>
    <w:p>
      <w:pPr>
        <w:pStyle w:val="TextBody"/>
        <w:bidi w:val="0"/>
        <w:spacing w:lineRule="auto" w:line="288" w:before="200" w:after="283"/>
        <w:jc w:val="left"/>
        <w:rPr/>
      </w:pPr>
      <w:r>
        <w:rPr>
          <w:rFonts w:ascii="Times New Roman;serif" w:hAnsi="Times New Roman;serif"/>
          <w:b w:val="false"/>
          <w:i/>
          <w:color w:val="000000"/>
          <w:sz w:val="20"/>
        </w:rPr>
        <w:t>Cash and cash equivalents</w:t>
      </w:r>
      <w:r>
        <w:rPr>
          <w:color w:val="000000"/>
        </w:rPr>
        <w:t xml:space="preserve"> – </w:t>
      </w:r>
      <w:r>
        <w:rPr>
          <w:rFonts w:ascii="Times New Roman;serif" w:hAnsi="Times New Roman;serif"/>
          <w:b w:val="false"/>
          <w:color w:val="000000"/>
          <w:sz w:val="20"/>
        </w:rPr>
        <w:t>Consists of deposits with financial institutions and other short-term highly liquid investments with an original maturity of three months or less. Cash and cash equivalents are categorized as Level 1 instruments in the fair value hierarchy.</w:t>
      </w:r>
    </w:p>
    <w:p>
      <w:pPr>
        <w:pStyle w:val="TextBody"/>
        <w:bidi w:val="0"/>
        <w:spacing w:lineRule="auto" w:line="288" w:before="200" w:after="283"/>
        <w:jc w:val="left"/>
        <w:rPr/>
      </w:pPr>
      <w:r>
        <w:rPr>
          <w:rFonts w:ascii="Times New Roman;serif" w:hAnsi="Times New Roman;serif"/>
          <w:b w:val="false"/>
          <w:i/>
          <w:color w:val="000000"/>
          <w:sz w:val="20"/>
        </w:rPr>
        <w:t>Fixed income securities, equity securities and hedge fund assets</w:t>
      </w:r>
      <w:r>
        <w:rPr>
          <w:color w:val="000000"/>
        </w:rPr>
        <w:t xml:space="preserve"> – </w:t>
      </w:r>
      <w:r>
        <w:rPr>
          <w:rFonts w:ascii="Times New Roman;serif" w:hAnsi="Times New Roman;serif"/>
          <w:b w:val="false"/>
          <w:color w:val="000000"/>
          <w:sz w:val="20"/>
        </w:rPr>
        <w:t>These assets are invested in managed funds that are measured at fair value using the net asset value per share practical expedient and, therefore, are not categorized in the fair value hierarchy.</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Expected future benefit payments from plan assets are as follows: </w:t>
      </w:r>
    </w:p>
    <w:tbl>
      <w:tblPr>
        <w:tblW w:w="3216" w:type="dxa"/>
        <w:jc w:val="left"/>
        <w:tblInd w:w="0" w:type="dxa"/>
        <w:tblLayout w:type="fixed"/>
        <w:tblCellMar>
          <w:top w:w="28" w:type="dxa"/>
          <w:left w:w="28" w:type="dxa"/>
          <w:bottom w:w="28" w:type="dxa"/>
          <w:right w:w="28" w:type="dxa"/>
        </w:tblCellMar>
      </w:tblPr>
      <w:tblGrid>
        <w:gridCol w:w="728"/>
        <w:gridCol w:w="640"/>
        <w:gridCol w:w="642"/>
        <w:gridCol w:w="211"/>
        <w:gridCol w:w="841"/>
        <w:gridCol w:w="154"/>
      </w:tblGrid>
      <w:tr>
        <w:trPr/>
        <w:tc>
          <w:tcPr>
            <w:tcW w:w="728"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(thousands of U.S. dollars)</w:t>
            </w:r>
          </w:p>
        </w:tc>
        <w:tc>
          <w:tcPr>
            <w:tcW w:w="1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u w:val="single"/>
              </w:rPr>
            </w:pPr>
            <w:r>
              <w:rPr>
                <w:rFonts w:ascii="Times New Roman;serif" w:hAnsi="Times New Roman;serif"/>
                <w:b/>
                <w:color w:val="000000"/>
                <w:sz w:val="16"/>
                <w:u w:val="single"/>
              </w:rPr>
              <w:t>Year Ended December 31,</w:t>
            </w:r>
          </w:p>
        </w:tc>
        <w:tc>
          <w:tcPr>
            <w:tcW w:w="1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13,813</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14,168</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14,339</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14,506</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14,617</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2031 - 2035</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74,377</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145,820</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Other benefit plans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benefit plans disclosed below relate to Nordion and include a supplemental retirement arrangement, a retirement and termination allowance, and post-retirement benefit plans, which include contributory health and dental care benefits and contributory life insurance coverage. Certain immaterial other foreign benefit plans have been excluded from the table below. All non-pension post-employment benefit plans are unfunded. All other non-pension post-employment benefit plans are immaterial.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91"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89</w:t>
                      </w:r>
                    </w:p>
                  </w:txbxContent>
                </v:textbox>
                <w10:wrap type="none"/>
              </v:rect>
            </w:pict>
          </mc:Fallback>
        </mc:AlternateContent>
      </w:r>
    </w:p>
    <w:p>
      <w:pPr>
        <w:pStyle w:val="TextBody"/>
        <w:bidi w:val="0"/>
        <w:spacing w:lineRule="auto" w:line="288" w:before="0" w:after="0"/>
        <w:jc w:val="left"/>
        <w:rPr/>
      </w:pPr>
      <w:hyperlink w:anchor="i27c953b2e3004595bc062f37867a09bd_7">
        <w:r>
          <w:rPr>
            <w:rStyle w:val="InternetLink"/>
            <w:rFonts w:ascii="Times New Roman;serif" w:hAnsi="Times New Roman;serif"/>
            <w:b w:val="false"/>
            <w:color w:val="0000FF"/>
            <w:sz w:val="20"/>
            <w:u w:val="single"/>
          </w:rPr>
          <w:t>Table of Contents</w:t>
        </w:r>
      </w:hyperlink>
    </w:p>
    <w:p>
      <w:pPr>
        <w:pStyle w:val="TextBody"/>
        <w:bidi w:val="0"/>
        <w:spacing w:lineRule="auto" w:line="288" w:before="40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Sotera Health Company </w:t>
      </w:r>
    </w:p>
    <w:p>
      <w:pPr>
        <w:pStyle w:val="TextBody"/>
        <w:bidi w:val="0"/>
        <w:spacing w:lineRule="auto" w:line="288" w:before="60" w:after="240"/>
        <w:jc w:val="center"/>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interest cost and amortization of net actuarial gain are recorded in “Other income, net” and the service cost component is included in the same financial statement line item as the applicable employee’s wages in the Consolidated Statements of Operations and Comprehensive Income (Loss). The components of net periodic benefit cost for the other benefit plans were as follows:</w:t>
      </w:r>
    </w:p>
    <w:tbl>
      <w:tblPr>
        <w:tblW w:w="5937" w:type="dxa"/>
        <w:jc w:val="left"/>
        <w:tblInd w:w="0" w:type="dxa"/>
        <w:tblLayout w:type="fixed"/>
        <w:tblCellMar>
          <w:top w:w="28" w:type="dxa"/>
          <w:left w:w="28" w:type="dxa"/>
          <w:bottom w:w="28" w:type="dxa"/>
          <w:right w:w="28" w:type="dxa"/>
        </w:tblCellMar>
      </w:tblPr>
      <w:tblGrid>
        <w:gridCol w:w="1038"/>
        <w:gridCol w:w="912"/>
        <w:gridCol w:w="915"/>
        <w:gridCol w:w="211"/>
        <w:gridCol w:w="481"/>
        <w:gridCol w:w="109"/>
        <w:gridCol w:w="109"/>
        <w:gridCol w:w="109"/>
        <w:gridCol w:w="109"/>
        <w:gridCol w:w="211"/>
        <w:gridCol w:w="466"/>
        <w:gridCol w:w="109"/>
        <w:gridCol w:w="109"/>
        <w:gridCol w:w="109"/>
        <w:gridCol w:w="109"/>
        <w:gridCol w:w="211"/>
        <w:gridCol w:w="466"/>
        <w:gridCol w:w="154"/>
      </w:tblGrid>
      <w:tr>
        <w:trPr/>
        <w:tc>
          <w:tcPr>
            <w:tcW w:w="1038"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(thousands of U.S. dollars)</w:t>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u w:val="single"/>
              </w:rPr>
            </w:pPr>
            <w:r>
              <w:rPr>
                <w:rFonts w:ascii="Times New Roman;serif" w:hAnsi="Times New Roman;serif"/>
                <w:b/>
                <w:color w:val="000000"/>
                <w:sz w:val="16"/>
                <w:u w:val="single"/>
              </w:rPr>
              <w:t>Year Ended December 31,</w:t>
            </w:r>
          </w:p>
        </w:tc>
        <w:tc>
          <w:tcPr>
            <w:tcW w:w="80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 cost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cost</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net actuarial gain</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color w:val="000000"/>
                <w:sz w:val="20"/>
              </w:rPr>
            </w:pPr>
            <w:r>
              <w:rPr>
                <w:rFonts w:ascii="Times New Roman;serif" w:hAnsi="Times New Roman;serif"/>
                <w:b/>
                <w:color w:val="000000"/>
                <w:sz w:val="20"/>
              </w:rPr>
              <w:t>Net periodic benefit cost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279</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weighted average assumptions used to determine the PBO and net periodic pension cost for these plans were as follows:</w:t>
      </w:r>
    </w:p>
    <w:tbl>
      <w:tblPr>
        <w:tblW w:w="5371" w:type="dxa"/>
        <w:jc w:val="left"/>
        <w:tblInd w:w="0" w:type="dxa"/>
        <w:tblLayout w:type="fixed"/>
        <w:tblCellMar>
          <w:top w:w="28" w:type="dxa"/>
          <w:left w:w="28" w:type="dxa"/>
          <w:bottom w:w="28" w:type="dxa"/>
          <w:right w:w="28" w:type="dxa"/>
        </w:tblCellMar>
      </w:tblPr>
      <w:tblGrid>
        <w:gridCol w:w="1226"/>
        <w:gridCol w:w="1080"/>
        <w:gridCol w:w="1084"/>
        <w:gridCol w:w="263"/>
        <w:gridCol w:w="263"/>
        <w:gridCol w:w="301"/>
        <w:gridCol w:w="109"/>
        <w:gridCol w:w="109"/>
        <w:gridCol w:w="109"/>
        <w:gridCol w:w="255"/>
        <w:gridCol w:w="256"/>
        <w:gridCol w:w="316"/>
      </w:tblGrid>
      <w:tr>
        <w:trPr/>
        <w:tc>
          <w:tcPr>
            <w:tcW w:w="1226"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u w:val="single"/>
              </w:rPr>
            </w:pPr>
            <w:r>
              <w:rPr>
                <w:rFonts w:ascii="Times New Roman;serif" w:hAnsi="Times New Roman;serif"/>
                <w:b/>
                <w:color w:val="000000"/>
                <w:sz w:val="16"/>
                <w:u w:val="single"/>
              </w:rPr>
              <w:t>Year Ended December 31,</w:t>
            </w:r>
          </w:p>
        </w:tc>
        <w:tc>
          <w:tcPr>
            <w:tcW w:w="8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Projected benefit obligation:</w:t>
            </w:r>
          </w:p>
        </w:tc>
        <w:tc>
          <w:tcPr>
            <w:tcW w:w="8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Discount rate</w:t>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4.82</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Rate of compensation increase</w:t>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3.00</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Initial health care cost trend rate</w:t>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7.00</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Ultimate health care cost trend rate</w:t>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4.00</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Years until ultimate trend rate is reached</w:t>
            </w:r>
          </w:p>
        </w:tc>
        <w:tc>
          <w:tcPr>
            <w:tcW w:w="8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Benefit cost:</w:t>
            </w:r>
          </w:p>
        </w:tc>
        <w:tc>
          <w:tcPr>
            <w:tcW w:w="8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Discount rate</w:t>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4.65</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Rate of compensation increase</w:t>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3.00</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Assumed health care cost trend rates have a significant effect on the amounts reported for the health care plans. A one-percentage point change in assumed health care cost trend rates would have had the following impact on our consolidated financial statements in 2025:</w:t>
      </w:r>
    </w:p>
    <w:tbl>
      <w:tblPr>
        <w:tblW w:w="5800" w:type="dxa"/>
        <w:jc w:val="left"/>
        <w:tblInd w:w="0" w:type="dxa"/>
        <w:tblLayout w:type="fixed"/>
        <w:tblCellMar>
          <w:top w:w="28" w:type="dxa"/>
          <w:left w:w="28" w:type="dxa"/>
          <w:bottom w:w="28" w:type="dxa"/>
          <w:right w:w="28" w:type="dxa"/>
        </w:tblCellMar>
      </w:tblPr>
      <w:tblGrid>
        <w:gridCol w:w="1190"/>
        <w:gridCol w:w="1045"/>
        <w:gridCol w:w="1049"/>
        <w:gridCol w:w="317"/>
        <w:gridCol w:w="567"/>
        <w:gridCol w:w="166"/>
        <w:gridCol w:w="109"/>
        <w:gridCol w:w="109"/>
        <w:gridCol w:w="109"/>
        <w:gridCol w:w="324"/>
        <w:gridCol w:w="578"/>
        <w:gridCol w:w="237"/>
      </w:tblGrid>
      <w:tr>
        <w:trPr/>
        <w:tc>
          <w:tcPr>
            <w:tcW w:w="1190"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(thousands of U.S. dollars)</w:t>
            </w:r>
          </w:p>
        </w:tc>
        <w:tc>
          <w:tcPr>
            <w:tcW w:w="105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1% Increase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1% Decrease </w:t>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net periodic benefit cost</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w:t>
            </w:r>
            <w:r>
              <w:rPr>
                <w:color w:val="000000"/>
              </w:rPr>
              <w:t>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(18)</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projected benefit obligation</w:t>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510</w:t>
            </w: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(434)</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92"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90</w:t>
                      </w:r>
                    </w:p>
                  </w:txbxContent>
                </v:textbox>
                <w10:wrap type="none"/>
              </v:rect>
            </w:pict>
          </mc:Fallback>
        </mc:AlternateContent>
      </w:r>
    </w:p>
    <w:p>
      <w:pPr>
        <w:pStyle w:val="TextBody"/>
        <w:bidi w:val="0"/>
        <w:spacing w:lineRule="auto" w:line="288" w:before="0" w:after="0"/>
        <w:jc w:val="left"/>
        <w:rPr/>
      </w:pPr>
      <w:hyperlink w:anchor="i27c953b2e3004595bc062f37867a09bd_7">
        <w:r>
          <w:rPr>
            <w:rStyle w:val="InternetLink"/>
            <w:rFonts w:ascii="Times New Roman;serif" w:hAnsi="Times New Roman;serif"/>
            <w:b w:val="false"/>
            <w:color w:val="0000FF"/>
            <w:sz w:val="20"/>
            <w:u w:val="single"/>
          </w:rPr>
          <w:t>Table of Contents</w:t>
        </w:r>
      </w:hyperlink>
    </w:p>
    <w:p>
      <w:pPr>
        <w:pStyle w:val="TextBody"/>
        <w:bidi w:val="0"/>
        <w:spacing w:lineRule="auto" w:line="288" w:before="40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Sotera Health Company </w:t>
      </w:r>
    </w:p>
    <w:p>
      <w:pPr>
        <w:pStyle w:val="TextBody"/>
        <w:bidi w:val="0"/>
        <w:spacing w:lineRule="auto" w:line="288" w:before="60" w:after="240"/>
        <w:jc w:val="center"/>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changes in the projected benefit obligation and the funded status of the other post-retirement plans were as follows: </w:t>
      </w:r>
    </w:p>
    <w:tbl>
      <w:tblPr>
        <w:tblW w:w="6953" w:type="dxa"/>
        <w:jc w:val="left"/>
        <w:tblInd w:w="0" w:type="dxa"/>
        <w:tblLayout w:type="fixed"/>
        <w:tblCellMar>
          <w:top w:w="28" w:type="dxa"/>
          <w:left w:w="28" w:type="dxa"/>
          <w:bottom w:w="28" w:type="dxa"/>
          <w:right w:w="28" w:type="dxa"/>
        </w:tblCellMar>
      </w:tblPr>
      <w:tblGrid>
        <w:gridCol w:w="1653"/>
        <w:gridCol w:w="1451"/>
        <w:gridCol w:w="1455"/>
        <w:gridCol w:w="211"/>
        <w:gridCol w:w="691"/>
        <w:gridCol w:w="109"/>
        <w:gridCol w:w="109"/>
        <w:gridCol w:w="109"/>
        <w:gridCol w:w="109"/>
        <w:gridCol w:w="211"/>
        <w:gridCol w:w="691"/>
        <w:gridCol w:w="154"/>
      </w:tblGrid>
      <w:tr>
        <w:trPr/>
        <w:tc>
          <w:tcPr>
            <w:tcW w:w="1653" w:type="dxa"/>
            <w:tcBorders/>
            <w:vAlign w:val="center"/>
          </w:tcPr>
          <w:p>
            <w:pPr>
              <w:pStyle w:val="TableContents"/>
              <w:bidi w:val="0"/>
              <w:spacing w:before="0" w:after="283"/>
              <w:jc w:val="left"/>
              <w:rPr>
                <w:sz w:val="4"/>
                <w:szCs w:val="4"/>
              </w:rPr>
            </w:pPr>
            <w:r>
              <w:rPr>
                <w:sz w:val="4"/>
                <w:szCs w:val="4"/>
              </w:rPr>
            </w:r>
          </w:p>
        </w:tc>
        <w:tc>
          <w:tcPr>
            <w:tcW w:w="1451" w:type="dxa"/>
            <w:tcBorders/>
            <w:vAlign w:val="center"/>
          </w:tcPr>
          <w:p>
            <w:pPr>
              <w:pStyle w:val="TableContents"/>
              <w:bidi w:val="0"/>
              <w:spacing w:before="0" w:after="283"/>
              <w:jc w:val="left"/>
              <w:rPr>
                <w:sz w:val="4"/>
                <w:szCs w:val="4"/>
              </w:rPr>
            </w:pPr>
            <w:r>
              <w:rPr>
                <w:sz w:val="4"/>
                <w:szCs w:val="4"/>
              </w:rPr>
            </w:r>
          </w:p>
        </w:tc>
        <w:tc>
          <w:tcPr>
            <w:tcW w:w="14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5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(thousands of U.S. dollars)</w:t>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5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u w:val="single"/>
              </w:rPr>
            </w:pPr>
            <w:r>
              <w:rPr>
                <w:rFonts w:ascii="Times New Roman;serif" w:hAnsi="Times New Roman;serif"/>
                <w:b/>
                <w:color w:val="000000"/>
                <w:sz w:val="16"/>
                <w:u w:val="single"/>
              </w:rPr>
              <w:t>As of December 31,</w:t>
            </w:r>
          </w:p>
        </w:tc>
        <w:tc>
          <w:tcPr>
            <w:tcW w:w="10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projected benefit obligation:</w:t>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Projected benefit obligation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8,375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 cost</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cost</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Benefits paid</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Actuarial (gain) loss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Plan participant contributions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exchange rate changes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398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color w:val="000000"/>
                <w:sz w:val="20"/>
              </w:rPr>
            </w:pPr>
            <w:r>
              <w:rPr>
                <w:rFonts w:ascii="Times New Roman;serif" w:hAnsi="Times New Roman;serif"/>
                <w:b/>
                <w:color w:val="000000"/>
                <w:sz w:val="20"/>
              </w:rPr>
              <w:t>Projected benefit obligation, end of year</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8,429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450"/>
              <w:jc w:val="left"/>
              <w:rPr>
                <w:sz w:val="4"/>
                <w:szCs w:val="4"/>
              </w:rPr>
            </w:pPr>
            <w:r>
              <w:rPr>
                <w:sz w:val="4"/>
                <w:szCs w:val="4"/>
              </w:rPr>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plan assets:</w:t>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of plan assets as of the beginning of the year</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512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Benefits paid</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Employer (refunds) contributions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exchange rate changes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color w:val="000000"/>
                <w:sz w:val="20"/>
              </w:rPr>
            </w:pPr>
            <w:r>
              <w:rPr>
                <w:rFonts w:ascii="Times New Roman;serif" w:hAnsi="Times New Roman;serif"/>
                <w:b/>
                <w:color w:val="000000"/>
                <w:sz w:val="20"/>
              </w:rPr>
              <w:t>Fair value of plan assets, end of year</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color w:val="000000"/>
                <w:sz w:val="20"/>
              </w:rPr>
            </w:pPr>
            <w:r>
              <w:rPr>
                <w:rFonts w:ascii="Times New Roman;serif" w:hAnsi="Times New Roman;serif"/>
                <w:b/>
                <w:color w:val="000000"/>
                <w:sz w:val="20"/>
              </w:rPr>
              <w:t>Underfunded status at end of year</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(8,123)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(7,863)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color w:val="000000"/>
                <w:sz w:val="20"/>
              </w:rPr>
            </w:pPr>
            <w:r>
              <w:rPr>
                <w:rFonts w:ascii="Times New Roman;serif" w:hAnsi="Times New Roman;serif"/>
                <w:b/>
                <w:color w:val="000000"/>
                <w:sz w:val="20"/>
              </w:rPr>
              <w:t>Accumulated benefit obligation, end of year</w:t>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9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8,410</w:t>
            </w:r>
            <w:r>
              <w:rPr>
                <w:color w:val="000000"/>
              </w:rPr>
              <w:t>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8,364 </w:t>
            </w:r>
          </w:p>
        </w:tc>
        <w:tc>
          <w:tcPr>
            <w:tcW w:w="154"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pPr>
      <w:r>
        <w:rPr>
          <w:rFonts w:ascii="Times New Roman;serif" w:hAnsi="Times New Roman;serif"/>
          <w:b w:val="false"/>
          <w:color w:val="000000"/>
          <w:sz w:val="20"/>
        </w:rPr>
        <w:t>The Nordion post-retirement benefit pension pla</w:t>
      </w:r>
      <w:r>
        <w:rPr>
          <w:rFonts w:ascii="Times New Roman;serif" w:hAnsi="Times New Roman;serif"/>
          <w:b w:val="false"/>
          <w:color w:val="000000"/>
          <w:sz w:val="20"/>
          <w:shd w:fill="FFFFFF" w:val="clear"/>
        </w:rPr>
        <w:t xml:space="preserve">ns are underfunded </w:t>
      </w:r>
      <w:r>
        <w:rPr>
          <w:rFonts w:ascii="Times New Roman;serif" w:hAnsi="Times New Roman;serif"/>
          <w:b w:val="false"/>
          <w:color w:val="000000"/>
          <w:sz w:val="20"/>
        </w:rPr>
        <w:t xml:space="preserve">as of December 31, 2025 and 2024.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 reconciliation of the funded status to the net plan liabilities recognized in the Consolidated Balance Sheets is as follows: </w:t>
      </w:r>
    </w:p>
    <w:tbl>
      <w:tblPr>
        <w:tblW w:w="8199" w:type="dxa"/>
        <w:jc w:val="left"/>
        <w:tblInd w:w="0" w:type="dxa"/>
        <w:tblLayout w:type="fixed"/>
        <w:tblCellMar>
          <w:top w:w="28" w:type="dxa"/>
          <w:left w:w="28" w:type="dxa"/>
          <w:bottom w:w="28" w:type="dxa"/>
          <w:right w:w="28" w:type="dxa"/>
        </w:tblCellMar>
      </w:tblPr>
      <w:tblGrid>
        <w:gridCol w:w="2153"/>
        <w:gridCol w:w="1891"/>
        <w:gridCol w:w="1896"/>
        <w:gridCol w:w="211"/>
        <w:gridCol w:w="631"/>
        <w:gridCol w:w="109"/>
        <w:gridCol w:w="109"/>
        <w:gridCol w:w="109"/>
        <w:gridCol w:w="109"/>
        <w:gridCol w:w="211"/>
        <w:gridCol w:w="616"/>
        <w:gridCol w:w="154"/>
      </w:tblGrid>
      <w:tr>
        <w:trPr/>
        <w:tc>
          <w:tcPr>
            <w:tcW w:w="2153" w:type="dxa"/>
            <w:tcBorders/>
            <w:vAlign w:val="center"/>
          </w:tcPr>
          <w:p>
            <w:pPr>
              <w:pStyle w:val="TableContents"/>
              <w:bidi w:val="0"/>
              <w:spacing w:before="0" w:after="283"/>
              <w:jc w:val="left"/>
              <w:rPr>
                <w:sz w:val="4"/>
                <w:szCs w:val="4"/>
              </w:rPr>
            </w:pPr>
            <w:r>
              <w:rPr>
                <w:sz w:val="4"/>
                <w:szCs w:val="4"/>
              </w:rPr>
            </w:r>
          </w:p>
        </w:tc>
        <w:tc>
          <w:tcPr>
            <w:tcW w:w="1891" w:type="dxa"/>
            <w:tcBorders/>
            <w:vAlign w:val="center"/>
          </w:tcPr>
          <w:p>
            <w:pPr>
              <w:pStyle w:val="TableContents"/>
              <w:bidi w:val="0"/>
              <w:spacing w:before="0" w:after="283"/>
              <w:jc w:val="left"/>
              <w:rPr>
                <w:sz w:val="4"/>
                <w:szCs w:val="4"/>
              </w:rPr>
            </w:pPr>
            <w:r>
              <w:rPr>
                <w:sz w:val="4"/>
                <w:szCs w:val="4"/>
              </w:rPr>
            </w:r>
          </w:p>
        </w:tc>
        <w:tc>
          <w:tcPr>
            <w:tcW w:w="18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4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(thousands of U.S. dollars)</w:t>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9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u w:val="single"/>
              </w:rPr>
            </w:pPr>
            <w:r>
              <w:rPr>
                <w:rFonts w:ascii="Times New Roman;serif" w:hAnsi="Times New Roman;serif"/>
                <w:b/>
                <w:color w:val="000000"/>
                <w:sz w:val="16"/>
                <w:u w:val="single"/>
              </w:rPr>
              <w:t>As of December 31,</w:t>
            </w:r>
          </w:p>
        </w:tc>
        <w:tc>
          <w:tcPr>
            <w:tcW w:w="9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5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Projected benefit obligation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8,429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of plan assets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Plan assets less than projected benefit obligation (noncurrent liabilities)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(8,123)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(7,863)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Unrecognized actuarial gains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1,870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other benefit plan liabilities are presented on the Consolidated Balance Sheets as “Post retirement obligations.”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illustrates the amounts in accumulated other comprehensive income (loss) that have not yet been recognized as components of other benefit plan expense: </w:t>
      </w:r>
    </w:p>
    <w:tbl>
      <w:tblPr>
        <w:tblW w:w="6938" w:type="dxa"/>
        <w:jc w:val="left"/>
        <w:tblInd w:w="0" w:type="dxa"/>
        <w:tblLayout w:type="fixed"/>
        <w:tblCellMar>
          <w:top w:w="28" w:type="dxa"/>
          <w:left w:w="28" w:type="dxa"/>
          <w:bottom w:w="28" w:type="dxa"/>
          <w:right w:w="28" w:type="dxa"/>
        </w:tblCellMar>
      </w:tblPr>
      <w:tblGrid>
        <w:gridCol w:w="1696"/>
        <w:gridCol w:w="1489"/>
        <w:gridCol w:w="1494"/>
        <w:gridCol w:w="211"/>
        <w:gridCol w:w="631"/>
        <w:gridCol w:w="109"/>
        <w:gridCol w:w="109"/>
        <w:gridCol w:w="109"/>
        <w:gridCol w:w="109"/>
        <w:gridCol w:w="211"/>
        <w:gridCol w:w="616"/>
        <w:gridCol w:w="154"/>
      </w:tblGrid>
      <w:tr>
        <w:trPr/>
        <w:tc>
          <w:tcPr>
            <w:tcW w:w="1696" w:type="dxa"/>
            <w:tcBorders/>
            <w:vAlign w:val="center"/>
          </w:tcPr>
          <w:p>
            <w:pPr>
              <w:pStyle w:val="TableContents"/>
              <w:bidi w:val="0"/>
              <w:spacing w:before="0" w:after="283"/>
              <w:jc w:val="left"/>
              <w:rPr>
                <w:sz w:val="4"/>
                <w:szCs w:val="4"/>
              </w:rPr>
            </w:pPr>
            <w:r>
              <w:rPr>
                <w:sz w:val="4"/>
                <w:szCs w:val="4"/>
              </w:rPr>
            </w:r>
          </w:p>
        </w:tc>
        <w:tc>
          <w:tcPr>
            <w:tcW w:w="1489" w:type="dxa"/>
            <w:tcBorders/>
            <w:vAlign w:val="center"/>
          </w:tcPr>
          <w:p>
            <w:pPr>
              <w:pStyle w:val="TableContents"/>
              <w:bidi w:val="0"/>
              <w:spacing w:before="0" w:after="283"/>
              <w:jc w:val="left"/>
              <w:rPr>
                <w:sz w:val="4"/>
                <w:szCs w:val="4"/>
              </w:rPr>
            </w:pPr>
            <w:r>
              <w:rPr>
                <w:sz w:val="4"/>
                <w:szCs w:val="4"/>
              </w:rPr>
            </w:r>
          </w:p>
        </w:tc>
        <w:tc>
          <w:tcPr>
            <w:tcW w:w="14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(thousands of U.S. dollars)</w:t>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6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u w:val="single"/>
              </w:rPr>
            </w:pPr>
            <w:r>
              <w:rPr>
                <w:rFonts w:ascii="Times New Roman;serif" w:hAnsi="Times New Roman;serif"/>
                <w:b/>
                <w:color w:val="000000"/>
                <w:sz w:val="16"/>
                <w:u w:val="single"/>
              </w:rPr>
              <w:t>As of December 31,</w:t>
            </w:r>
          </w:p>
        </w:tc>
        <w:tc>
          <w:tcPr>
            <w:tcW w:w="9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actuarial gain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1,870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color w:val="000000"/>
                <w:sz w:val="20"/>
              </w:rPr>
            </w:pPr>
            <w:r>
              <w:rPr>
                <w:rFonts w:ascii="Times New Roman;serif" w:hAnsi="Times New Roman;serif"/>
                <w:b/>
                <w:color w:val="000000"/>
                <w:sz w:val="20"/>
              </w:rPr>
              <w:t>Accumulated other comprehensive income – net of tax</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1,277</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93"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91</w:t>
                      </w:r>
                    </w:p>
                  </w:txbxContent>
                </v:textbox>
                <w10:wrap type="none"/>
              </v:rect>
            </w:pict>
          </mc:Fallback>
        </mc:AlternateContent>
      </w:r>
    </w:p>
    <w:p>
      <w:pPr>
        <w:pStyle w:val="TextBody"/>
        <w:bidi w:val="0"/>
        <w:spacing w:lineRule="auto" w:line="288" w:before="0" w:after="0"/>
        <w:jc w:val="left"/>
        <w:rPr/>
      </w:pPr>
      <w:hyperlink w:anchor="i27c953b2e3004595bc062f37867a09bd_7">
        <w:r>
          <w:rPr>
            <w:rStyle w:val="InternetLink"/>
            <w:rFonts w:ascii="Times New Roman;serif" w:hAnsi="Times New Roman;serif"/>
            <w:b w:val="false"/>
            <w:color w:val="0000FF"/>
            <w:sz w:val="20"/>
            <w:u w:val="single"/>
          </w:rPr>
          <w:t>Table of Contents</w:t>
        </w:r>
      </w:hyperlink>
    </w:p>
    <w:p>
      <w:pPr>
        <w:pStyle w:val="TextBody"/>
        <w:bidi w:val="0"/>
        <w:spacing w:lineRule="auto" w:line="288" w:before="40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Sotera Health Company </w:t>
      </w:r>
    </w:p>
    <w:p>
      <w:pPr>
        <w:pStyle w:val="TextBody"/>
        <w:bidi w:val="0"/>
        <w:spacing w:lineRule="auto" w:line="288" w:before="60" w:after="240"/>
        <w:jc w:val="center"/>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Based on the actuarial assumptions used to develop the Company’s benefit obligations as of December 31, 2025, the following benefit payments are expected to be made to plan participants: </w:t>
      </w:r>
    </w:p>
    <w:tbl>
      <w:tblPr>
        <w:tblW w:w="2991" w:type="dxa"/>
        <w:jc w:val="left"/>
        <w:tblInd w:w="0" w:type="dxa"/>
        <w:tblLayout w:type="fixed"/>
        <w:tblCellMar>
          <w:top w:w="28" w:type="dxa"/>
          <w:left w:w="28" w:type="dxa"/>
          <w:bottom w:w="28" w:type="dxa"/>
          <w:right w:w="28" w:type="dxa"/>
        </w:tblCellMar>
      </w:tblPr>
      <w:tblGrid>
        <w:gridCol w:w="723"/>
        <w:gridCol w:w="635"/>
        <w:gridCol w:w="637"/>
        <w:gridCol w:w="211"/>
        <w:gridCol w:w="631"/>
        <w:gridCol w:w="154"/>
      </w:tblGrid>
      <w:tr>
        <w:trPr/>
        <w:tc>
          <w:tcPr>
            <w:tcW w:w="723"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(thousands of U.S. dollars)</w:t>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Years ended December 31</w:t>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550</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585</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510</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511</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514</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2031 - 2035</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2,628</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color w:val="000000"/>
                <w:sz w:val="20"/>
              </w:rPr>
            </w:pPr>
            <w:r>
              <w:rPr>
                <w:rFonts w:ascii="Times New Roman;serif" w:hAnsi="Times New Roman;serif"/>
                <w:b/>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5,298</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currently has no funding requirements as the Nordion pension plan had a going concern surplus as of January 1, 2025, as defined by Canadian federal regulations, which require solvency testing on defined benefit pension plans on an annual basis.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may obtain a qualifying letter of credit for solvency payments, up to 15% of the market value of solvency liabilities as determined on the valuation date, instead of cash payment into the pension fund. As of December 31, 2025 we had no letters of credit outstanding relating to the defined benefit plans. As of December 31, 2024 we had $6.4 million of letters of credit outstanding relating to the defined benefit plans. The actual funding requirements over the five-year period will be dependent on subsequent annual actuarial valuations. These amounts are estimates, which may change with actual investment performance, changes in interest rates, any pertinent changes in Canadian government regulations, and any voluntary contributions.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360"/>
        <w:jc w:val="left"/>
        <w:rPr>
          <w:rFonts w:ascii="Times New Roman;serif" w:hAnsi="Times New Roman;serif"/>
          <w:b/>
          <w:color w:val="000000"/>
          <w:sz w:val="20"/>
        </w:rPr>
      </w:pPr>
      <w:r>
        <w:rPr>
          <w:rFonts w:ascii="Times New Roman;serif" w:hAnsi="Times New Roman;serif"/>
          <w:b/>
          <w:color w:val="000000"/>
          <w:sz w:val="20"/>
        </w:rPr>
        <w:t>12.Related Parties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For the years ended December 31, 2025, 2024 and 2023, the Company did not engage in any material related party transactions.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360"/>
        <w:jc w:val="left"/>
        <w:rPr>
          <w:rFonts w:ascii="Times New Roman;serif" w:hAnsi="Times New Roman;serif"/>
          <w:b/>
          <w:color w:val="000000"/>
          <w:sz w:val="20"/>
        </w:rPr>
      </w:pPr>
      <w:r>
        <w:rPr>
          <w:rFonts w:ascii="Times New Roman;serif" w:hAnsi="Times New Roman;serif"/>
          <w:b/>
          <w:color w:val="000000"/>
          <w:sz w:val="20"/>
        </w:rPr>
        <w:t>13.Other Comprehensive Income (Loss)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Amounts in accumulated other comprehensive income (loss) are presented net of the related tax. Foreign currency translation is not adjusted for income taxes.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94"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92</w:t>
                      </w:r>
                    </w:p>
                  </w:txbxContent>
                </v:textbox>
                <w10:wrap type="none"/>
              </v:rect>
            </w:pict>
          </mc:Fallback>
        </mc:AlternateContent>
      </w:r>
    </w:p>
    <w:p>
      <w:pPr>
        <w:pStyle w:val="TextBody"/>
        <w:bidi w:val="0"/>
        <w:spacing w:lineRule="auto" w:line="288" w:before="0" w:after="0"/>
        <w:jc w:val="left"/>
        <w:rPr/>
      </w:pPr>
      <w:hyperlink w:anchor="i27c953b2e3004595bc062f37867a09bd_7">
        <w:r>
          <w:rPr>
            <w:rStyle w:val="InternetLink"/>
            <w:rFonts w:ascii="Times New Roman;serif" w:hAnsi="Times New Roman;serif"/>
            <w:b w:val="false"/>
            <w:color w:val="0000FF"/>
            <w:sz w:val="20"/>
            <w:u w:val="single"/>
          </w:rPr>
          <w:t>Table of Contents</w:t>
        </w:r>
      </w:hyperlink>
    </w:p>
    <w:p>
      <w:pPr>
        <w:pStyle w:val="TextBody"/>
        <w:bidi w:val="0"/>
        <w:spacing w:lineRule="auto" w:line="288" w:before="40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Sotera Health Company </w:t>
      </w:r>
    </w:p>
    <w:p>
      <w:pPr>
        <w:pStyle w:val="TextBody"/>
        <w:bidi w:val="0"/>
        <w:spacing w:lineRule="auto" w:line="288" w:before="60" w:after="240"/>
        <w:jc w:val="center"/>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Changes in our accumulated other comprehensive income (loss) balances, net of applicable tax, were as follows: </w:t>
      </w:r>
    </w:p>
    <w:tbl>
      <w:tblPr>
        <w:tblW w:w="10205" w:type="dxa"/>
        <w:jc w:val="left"/>
        <w:tblInd w:w="0" w:type="dxa"/>
        <w:tblLayout w:type="fixed"/>
        <w:tblCellMar>
          <w:top w:w="28" w:type="dxa"/>
          <w:left w:w="28" w:type="dxa"/>
          <w:bottom w:w="28" w:type="dxa"/>
          <w:right w:w="28" w:type="dxa"/>
        </w:tblCellMar>
      </w:tblPr>
      <w:tblGrid>
        <w:gridCol w:w="1821"/>
        <w:gridCol w:w="1457"/>
        <w:gridCol w:w="1460"/>
        <w:gridCol w:w="211"/>
        <w:gridCol w:w="672"/>
        <w:gridCol w:w="109"/>
        <w:gridCol w:w="109"/>
        <w:gridCol w:w="109"/>
        <w:gridCol w:w="109"/>
        <w:gridCol w:w="211"/>
        <w:gridCol w:w="882"/>
        <w:gridCol w:w="109"/>
        <w:gridCol w:w="109"/>
        <w:gridCol w:w="109"/>
        <w:gridCol w:w="109"/>
        <w:gridCol w:w="211"/>
        <w:gridCol w:w="721"/>
        <w:gridCol w:w="109"/>
        <w:gridCol w:w="109"/>
        <w:gridCol w:w="109"/>
        <w:gridCol w:w="109"/>
        <w:gridCol w:w="211"/>
        <w:gridCol w:w="882"/>
        <w:gridCol w:w="158"/>
      </w:tblGrid>
      <w:tr>
        <w:trPr/>
        <w:tc>
          <w:tcPr>
            <w:tcW w:w="1821" w:type="dxa"/>
            <w:tcBorders/>
            <w:vAlign w:val="center"/>
          </w:tcPr>
          <w:p>
            <w:pPr>
              <w:pStyle w:val="TableContents"/>
              <w:bidi w:val="0"/>
              <w:spacing w:before="0" w:after="283"/>
              <w:jc w:val="left"/>
              <w:rPr>
                <w:sz w:val="4"/>
                <w:szCs w:val="4"/>
              </w:rPr>
            </w:pPr>
            <w:r>
              <w:rPr>
                <w:sz w:val="4"/>
                <w:szCs w:val="4"/>
              </w:rPr>
            </w:r>
          </w:p>
        </w:tc>
        <w:tc>
          <w:tcPr>
            <w:tcW w:w="1457"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73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(thousands of U.S. dollars)</w:t>
            </w:r>
          </w:p>
        </w:tc>
        <w:tc>
          <w:tcPr>
            <w:tcW w:w="992"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Defined</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Benefit</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Foreign</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Currency</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Translation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Interest</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Rate</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Derivatives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4738"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color w:val="000000"/>
                <w:sz w:val="20"/>
              </w:rPr>
            </w:pPr>
            <w:r>
              <w:rPr>
                <w:rFonts w:ascii="Times New Roman;serif" w:hAnsi="Times New Roman;serif"/>
                <w:b/>
                <w:color w:val="000000"/>
                <w:sz w:val="20"/>
              </w:rPr>
              <w:t>Beginning balance – January 1, 2023</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(131,205)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(106,653)</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before reclassifications</w:t>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36,307 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reclassified from accumulated other comprehensive income (loss)</w:t>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3"/>
              </w:rPr>
            </w:pPr>
            <w:r>
              <w:rPr>
                <w:rFonts w:ascii="Times New Roman;serif" w:hAnsi="Times New Roman;serif"/>
                <w:b w:val="false"/>
                <w:color w:val="000000"/>
                <w:sz w:val="13"/>
              </w:rPr>
              <w:t>(a)</w:t>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right"/>
              <w:rPr>
                <w:rFonts w:ascii="Times New Roman;serif" w:hAnsi="Times New Roman;serif"/>
                <w:b w:val="false"/>
                <w:color w:val="000000"/>
                <w:sz w:val="13"/>
              </w:rPr>
            </w:pPr>
            <w:r>
              <w:rPr>
                <w:rFonts w:ascii="Times New Roman;serif" w:hAnsi="Times New Roman;serif"/>
                <w:b w:val="false"/>
                <w:color w:val="000000"/>
                <w:sz w:val="13"/>
              </w:rPr>
              <w:t>(b)</w:t>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(22,336)</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8"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color w:val="000000"/>
                <w:sz w:val="20"/>
              </w:rPr>
            </w:pPr>
            <w:r>
              <w:rPr>
                <w:rFonts w:ascii="Times New Roman;serif" w:hAnsi="Times New Roman;serif"/>
                <w:b/>
                <w:color w:val="000000"/>
                <w:sz w:val="20"/>
              </w:rPr>
              <w:t>Net current-period other comprehensive income (loss)</w:t>
            </w:r>
          </w:p>
        </w:tc>
        <w:tc>
          <w:tcPr>
            <w:tcW w:w="8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(10,506)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(15,697)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13,971 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r>
      <w:tr>
        <w:trPr/>
        <w:tc>
          <w:tcPr>
            <w:tcW w:w="47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Ending balance – December 31, 2023</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(91,031)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(92,682)</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8"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color w:val="000000"/>
                <w:sz w:val="20"/>
              </w:rPr>
            </w:pPr>
            <w:r>
              <w:rPr>
                <w:rFonts w:ascii="Times New Roman;serif" w:hAnsi="Times New Roman;serif"/>
                <w:b/>
                <w:color w:val="000000"/>
                <w:sz w:val="20"/>
              </w:rPr>
              <w:t>Beginning balance – January 1, 2024</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(91,031)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(92,682)</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before reclassifications</w:t>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(118,635)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(105,554)</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reclassified from accumulated other comprehensive income (loss)</w:t>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3"/>
              </w:rPr>
            </w:pPr>
            <w:r>
              <w:rPr>
                <w:rFonts w:ascii="Times New Roman;serif" w:hAnsi="Times New Roman;serif"/>
                <w:b w:val="false"/>
                <w:color w:val="000000"/>
                <w:sz w:val="13"/>
              </w:rPr>
              <w:t>(a)</w:t>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right"/>
              <w:rPr>
                <w:rFonts w:ascii="Times New Roman;serif" w:hAnsi="Times New Roman;serif"/>
                <w:b w:val="false"/>
                <w:color w:val="000000"/>
                <w:sz w:val="13"/>
              </w:rPr>
            </w:pPr>
            <w:r>
              <w:rPr>
                <w:rFonts w:ascii="Times New Roman;serif" w:hAnsi="Times New Roman;serif"/>
                <w:b w:val="false"/>
                <w:color w:val="000000"/>
                <w:sz w:val="13"/>
              </w:rPr>
              <w:t>(b)</w:t>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(10,015)</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8"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color w:val="000000"/>
                <w:sz w:val="20"/>
              </w:rPr>
            </w:pPr>
            <w:r>
              <w:rPr>
                <w:rFonts w:ascii="Times New Roman;serif" w:hAnsi="Times New Roman;serif"/>
                <w:b/>
                <w:color w:val="000000"/>
                <w:sz w:val="20"/>
              </w:rPr>
              <w:t>Net current-period other comprehensive income (loss)</w:t>
            </w:r>
          </w:p>
        </w:tc>
        <w:tc>
          <w:tcPr>
            <w:tcW w:w="8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(118,635)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(115,569)</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r>
      <w:tr>
        <w:trPr/>
        <w:tc>
          <w:tcPr>
            <w:tcW w:w="47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Ending balance – December 31, 2024</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(209,666)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(208,251)</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8"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color w:val="000000"/>
                <w:sz w:val="20"/>
              </w:rPr>
            </w:pPr>
            <w:r>
              <w:rPr>
                <w:rFonts w:ascii="Times New Roman;serif" w:hAnsi="Times New Roman;serif"/>
                <w:b/>
                <w:color w:val="000000"/>
                <w:sz w:val="20"/>
              </w:rPr>
              <w:t>Beginning balance – January 1, 2025</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1,165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(209,666)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(208,251)</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before reclassifications</w:t>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2,455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98,115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99,604</w:t>
            </w: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reclassified from accumulated other comprehensive income (loss)</w:t>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3"/>
              </w:rPr>
            </w:pPr>
            <w:r>
              <w:rPr>
                <w:rFonts w:ascii="Times New Roman;serif" w:hAnsi="Times New Roman;serif"/>
                <w:b w:val="false"/>
                <w:color w:val="000000"/>
                <w:sz w:val="13"/>
              </w:rPr>
              <w:t>(a)</w:t>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(1,122)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right"/>
              <w:rPr>
                <w:rFonts w:ascii="Times New Roman;serif" w:hAnsi="Times New Roman;serif"/>
                <w:b w:val="false"/>
                <w:color w:val="000000"/>
                <w:sz w:val="13"/>
              </w:rPr>
            </w:pPr>
            <w:r>
              <w:rPr>
                <w:rFonts w:ascii="Times New Roman;serif" w:hAnsi="Times New Roman;serif"/>
                <w:b w:val="false"/>
                <w:color w:val="000000"/>
                <w:sz w:val="13"/>
              </w:rPr>
              <w:t>(b)</w:t>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(1,191)</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8"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color w:val="000000"/>
                <w:sz w:val="20"/>
              </w:rPr>
            </w:pPr>
            <w:r>
              <w:rPr>
                <w:rFonts w:ascii="Times New Roman;serif" w:hAnsi="Times New Roman;serif"/>
                <w:b/>
                <w:color w:val="000000"/>
                <w:sz w:val="20"/>
              </w:rPr>
              <w:t>Net current-period other comprehensive income (loss)</w:t>
            </w:r>
          </w:p>
        </w:tc>
        <w:tc>
          <w:tcPr>
            <w:tcW w:w="8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2,386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98,115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(2,088)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98,413</w:t>
            </w:r>
            <w:r>
              <w:rPr>
                <w:color w:val="000000"/>
              </w:rPr>
              <w:t>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r>
      <w:tr>
        <w:trPr/>
        <w:tc>
          <w:tcPr>
            <w:tcW w:w="47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Ending balance – December 31, 2025</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3,551</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(111,551)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(1,838)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(109,838)</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(a)For defined benefit pension and other post-retirement plans, amounts reclassified from accumulated other comprehensive income (loss) are recorded to “Other income, net” within the Consolidated Statements of Operations and Comprehensive Income (Loss).</w:t>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(b)For interest rate derivatives, amounts reclassified from accumulated other comprehensive income (loss) are recorded to “Interest expense, net” within the Consolidated Statements of Operations and Comprehensive Income (Loss).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36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14.Stockholders’ Equity </w:t>
      </w:r>
    </w:p>
    <w:p>
      <w:pPr>
        <w:pStyle w:val="TextBody"/>
        <w:bidi w:val="0"/>
        <w:spacing w:lineRule="auto" w:line="288" w:before="20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Common Stock</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 completed its IPO in the fourth quarter of 2020 and shares began trading on Nasdaq on November 20, 2020. Prior to the completion of the IPO, the Company amended and restated its certificate of incorporation to authorize 1,200,000,000 shares of common stock, par value $0.01 per share, and reclassify all 3,000 shares of its common stock then outstanding as 232,400,200 shares. Upon completion of the IPO, 284,421,755 shares of common stock were outstanding.</w:t>
      </w:r>
    </w:p>
    <w:p>
      <w:pPr>
        <w:pStyle w:val="TextBody"/>
        <w:bidi w:val="0"/>
        <w:spacing w:lineRule="auto" w:line="288" w:before="200" w:after="283"/>
        <w:jc w:val="left"/>
        <w:rPr/>
      </w:pPr>
      <w:r>
        <w:rPr>
          <w:rFonts w:ascii="Times New Roman;serif" w:hAnsi="Times New Roman;serif"/>
          <w:b w:val="false"/>
          <w:i/>
          <w:color w:val="000000"/>
          <w:sz w:val="20"/>
          <w:shd w:fill="FFFFFF" w:val="clear"/>
        </w:rPr>
        <w:t>Voting Rights.</w:t>
      </w:r>
      <w:r>
        <w:rPr>
          <w:color w:val="000000"/>
          <w:shd w:fill="FFFFFF" w:val="clear"/>
        </w:rPr>
        <w:t xml:space="preserve"> </w:t>
      </w:r>
      <w:r>
        <w:rPr>
          <w:rFonts w:ascii="Times New Roman;serif" w:hAnsi="Times New Roman;serif"/>
          <w:b w:val="false"/>
          <w:color w:val="000000"/>
          <w:sz w:val="20"/>
          <w:shd w:fill="FFFFFF" w:val="clear"/>
        </w:rPr>
        <w:t>Holders of common stock are entitled to one vote for each share held on all matters submitted to a vote of stockholders, subject to certain restrictions described in the certificate of incorporation.</w:t>
      </w:r>
    </w:p>
    <w:p>
      <w:pPr>
        <w:pStyle w:val="TextBody"/>
        <w:bidi w:val="0"/>
        <w:spacing w:lineRule="auto" w:line="288" w:before="200" w:after="283"/>
        <w:jc w:val="left"/>
        <w:rPr/>
      </w:pPr>
      <w:r>
        <w:rPr>
          <w:rFonts w:ascii="Times New Roman;serif" w:hAnsi="Times New Roman;serif"/>
          <w:b w:val="false"/>
          <w:i/>
          <w:color w:val="000000"/>
          <w:sz w:val="20"/>
          <w:shd w:fill="FFFFFF" w:val="clear"/>
        </w:rPr>
        <w:t>Dividends.</w:t>
      </w:r>
      <w:r>
        <w:rPr>
          <w:color w:val="000000"/>
          <w:shd w:fill="FFFFFF" w:val="clear"/>
        </w:rPr>
        <w:t xml:space="preserve"> </w:t>
      </w:r>
      <w:r>
        <w:rPr>
          <w:rFonts w:ascii="Times New Roman;serif" w:hAnsi="Times New Roman;serif"/>
          <w:b w:val="false"/>
          <w:color w:val="000000"/>
          <w:sz w:val="20"/>
          <w:shd w:fill="FFFFFF" w:val="clear"/>
        </w:rPr>
        <w:t>Subject to preferences that may be applicable to any then outstanding preferred stock, holders of our common stock are entitled to receive ratably those dividends, if any, as may be declared by the board of directors out of legally available funds.</w:t>
      </w:r>
    </w:p>
    <w:p>
      <w:pPr>
        <w:pStyle w:val="TextBody"/>
        <w:bidi w:val="0"/>
        <w:spacing w:lineRule="auto" w:line="288" w:before="200" w:after="283"/>
        <w:jc w:val="left"/>
        <w:rPr/>
      </w:pPr>
      <w:r>
        <w:rPr>
          <w:rFonts w:ascii="Times New Roman;serif" w:hAnsi="Times New Roman;serif"/>
          <w:b w:val="false"/>
          <w:i/>
          <w:color w:val="000000"/>
          <w:sz w:val="20"/>
          <w:shd w:fill="FFFFFF" w:val="clear"/>
        </w:rPr>
        <w:t>Liquidation, Dissolution, and Winding Up</w:t>
      </w:r>
      <w:r>
        <w:rPr>
          <w:rFonts w:ascii="Times New Roman;serif" w:hAnsi="Times New Roman;serif"/>
          <w:b w:val="false"/>
          <w:color w:val="000000"/>
          <w:sz w:val="20"/>
          <w:shd w:fill="FFFFFF" w:val="clear"/>
        </w:rPr>
        <w:t>. In the event of liquidation, dissolution or winding up, the holders of the Company’s common stock will be entitled to share equally and ratably in the net assets legally available for distribution to stockholders after the payment of all of debts and other liabilities, subject to the prior rights of any preferred stock then outstanding.</w:t>
      </w:r>
    </w:p>
    <w:p>
      <w:pPr>
        <w:pStyle w:val="TextBody"/>
        <w:bidi w:val="0"/>
        <w:spacing w:lineRule="auto" w:line="288" w:before="20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Preferred Stock</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In addition, prior to the completion of the IPO, the Company’s amended and restated certificate of incorporation authorized 120,000,000 shares of preferred stock, par value $0.01 per share. The board of directors may issue preferred stock, without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95"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93</w:t>
                      </w:r>
                    </w:p>
                  </w:txbxContent>
                </v:textbox>
                <w10:wrap type="none"/>
              </v:rect>
            </w:pict>
          </mc:Fallback>
        </mc:AlternateContent>
      </w:r>
    </w:p>
    <w:p>
      <w:pPr>
        <w:pStyle w:val="TextBody"/>
        <w:bidi w:val="0"/>
        <w:spacing w:lineRule="auto" w:line="288" w:before="0" w:after="0"/>
        <w:jc w:val="left"/>
        <w:rPr/>
      </w:pPr>
      <w:hyperlink w:anchor="i27c953b2e3004595bc062f37867a09bd_7">
        <w:r>
          <w:rPr>
            <w:rStyle w:val="InternetLink"/>
            <w:rFonts w:ascii="Times New Roman;serif" w:hAnsi="Times New Roman;serif"/>
            <w:b w:val="false"/>
            <w:color w:val="0000FF"/>
            <w:sz w:val="20"/>
            <w:u w:val="single"/>
          </w:rPr>
          <w:t>Table of Contents</w:t>
        </w:r>
      </w:hyperlink>
    </w:p>
    <w:p>
      <w:pPr>
        <w:pStyle w:val="TextBody"/>
        <w:bidi w:val="0"/>
        <w:spacing w:lineRule="auto" w:line="288" w:before="40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Sotera Health Company </w:t>
      </w:r>
    </w:p>
    <w:p>
      <w:pPr>
        <w:pStyle w:val="TextBody"/>
        <w:bidi w:val="0"/>
        <w:spacing w:lineRule="auto" w:line="288" w:before="60" w:after="240"/>
        <w:jc w:val="center"/>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stockholder approval, in such series and with such designations, preferences, conversion or other rights, voting powers and qualifications, limitations or restrictions thereof, as the board of directors deems appropriate.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360"/>
        <w:jc w:val="left"/>
        <w:rPr>
          <w:rFonts w:ascii="Times New Roman;serif" w:hAnsi="Times New Roman;serif"/>
          <w:b/>
          <w:color w:val="000000"/>
          <w:sz w:val="20"/>
        </w:rPr>
      </w:pPr>
      <w:r>
        <w:rPr>
          <w:rFonts w:ascii="Times New Roman;serif" w:hAnsi="Times New Roman;serif"/>
          <w:b/>
          <w:color w:val="000000"/>
          <w:sz w:val="20"/>
        </w:rPr>
        <w:t xml:space="preserve">15.Share-Based Compensation </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Pre-IPO Awards</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Prior to our IPO, the Company’s equity-based awards issued to service providers (including directors and employees) included partnership interests in our predecessor, Topco Parent (Class B-1 or B-2 Units), which vested based on either time or the achievement of certain performance and market conditions.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distributed in respect of pre-IPO Class B-1 time vesting units vested on a daily basis pro rata over a five-year vesting period (20% per year) beginning on the original vesting commencement date of the corresponding Class B-1 time vesting units, subject to the grantee’s continued services through each vesting date. All pre-IPO Class B-1 time vesting units were fully vested as of August 2025.</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distributed in respect of pre-IPO Class B-2 Units were considered performance vesting units. The performance thresholds were satisfied on March 4, 2024 and, as a result, all outstanding B-2 Units were fully vested as of that date.</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We recognized $0.5 million, $1.6 million and $2.0 million of share-based compensation expense related to the pre-IPO Class B-1 awards for the years ended December 31, 2025, 2024, and 2023, respectively.</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 summary of the activity for the years ended December 31, 2025, 2024 and 2023 related to the restricted stock distributed in respect of the pre-IPO awards (Class B-1 and B-2) is presented below: </w:t>
      </w:r>
    </w:p>
    <w:tbl>
      <w:tblPr>
        <w:tblW w:w="7060" w:type="dxa"/>
        <w:jc w:val="left"/>
        <w:tblInd w:w="0" w:type="dxa"/>
        <w:tblLayout w:type="fixed"/>
        <w:tblCellMar>
          <w:top w:w="28" w:type="dxa"/>
          <w:left w:w="28" w:type="dxa"/>
          <w:bottom w:w="28" w:type="dxa"/>
          <w:right w:w="28" w:type="dxa"/>
        </w:tblCellMar>
      </w:tblPr>
      <w:tblGrid>
        <w:gridCol w:w="715"/>
        <w:gridCol w:w="630"/>
        <w:gridCol w:w="634"/>
        <w:gridCol w:w="784"/>
        <w:gridCol w:w="784"/>
        <w:gridCol w:w="787"/>
        <w:gridCol w:w="109"/>
        <w:gridCol w:w="109"/>
        <w:gridCol w:w="109"/>
        <w:gridCol w:w="701"/>
        <w:gridCol w:w="701"/>
        <w:gridCol w:w="997"/>
      </w:tblGrid>
      <w:tr>
        <w:trPr/>
        <w:tc>
          <w:tcPr>
            <w:tcW w:w="715"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r>
      <w:tr>
        <w:trPr/>
        <w:tc>
          <w:tcPr>
            <w:tcW w:w="19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5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Restricted Stock - Pre-IPO B-1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Restricted Stock - Pre-IPO B-2</w:t>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At January 1, 2023</w:t>
            </w:r>
          </w:p>
        </w:tc>
        <w:tc>
          <w:tcPr>
            <w:tcW w:w="15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716,091</w:t>
            </w:r>
            <w:r>
              <w:rPr>
                <w:color w:val="000000"/>
              </w:rPr>
              <w:t> </w:t>
            </w:r>
          </w:p>
        </w:tc>
        <w:tc>
          <w:tcPr>
            <w:tcW w:w="7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1,098,415</w:t>
            </w:r>
            <w:r>
              <w:rPr>
                <w:color w:val="000000"/>
              </w:rPr>
              <w:t> </w:t>
            </w:r>
          </w:p>
        </w:tc>
        <w:tc>
          <w:tcPr>
            <w:tcW w:w="9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15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(16,243)</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(111,304)</w:t>
            </w:r>
          </w:p>
        </w:tc>
        <w:tc>
          <w:tcPr>
            <w:tcW w:w="9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15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(347,401)</w:t>
            </w:r>
          </w:p>
        </w:tc>
        <w:tc>
          <w:tcPr>
            <w:tcW w:w="7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At December 31, 2023</w:t>
            </w:r>
          </w:p>
        </w:tc>
        <w:tc>
          <w:tcPr>
            <w:tcW w:w="15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352,447 </w:t>
            </w:r>
          </w:p>
        </w:tc>
        <w:tc>
          <w:tcPr>
            <w:tcW w:w="7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987,111 </w:t>
            </w:r>
          </w:p>
        </w:tc>
        <w:tc>
          <w:tcPr>
            <w:tcW w:w="9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15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(2,651)</w:t>
            </w:r>
          </w:p>
        </w:tc>
        <w:tc>
          <w:tcPr>
            <w:tcW w:w="7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15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(278,345)</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(987,111)</w:t>
            </w:r>
          </w:p>
        </w:tc>
        <w:tc>
          <w:tcPr>
            <w:tcW w:w="9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At December 31, 2024</w:t>
            </w:r>
          </w:p>
        </w:tc>
        <w:tc>
          <w:tcPr>
            <w:tcW w:w="15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71,451</w:t>
            </w:r>
            <w:r>
              <w:rPr>
                <w:color w:val="000000"/>
              </w:rPr>
              <w:t> </w:t>
            </w:r>
          </w:p>
        </w:tc>
        <w:tc>
          <w:tcPr>
            <w:tcW w:w="7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vAlign w:val="center"/>
          </w:tcPr>
          <w:p>
            <w:pPr>
              <w:pStyle w:val="TableContents"/>
              <w:bidi w:val="0"/>
              <w:spacing w:before="0" w:after="283"/>
              <w:jc w:val="left"/>
              <w:rPr>
                <w:sz w:val="4"/>
                <w:szCs w:val="4"/>
              </w:rPr>
            </w:pPr>
            <w:r>
              <w:rPr>
                <w:sz w:val="4"/>
                <w:szCs w:val="4"/>
              </w:rPr>
            </w:r>
          </w:p>
        </w:tc>
        <w:tc>
          <w:tcPr>
            <w:tcW w:w="23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99" w:type="dxa"/>
            <w:gridSpan w:val="3"/>
            <w:tcBorders/>
            <w:vAlign w:val="center"/>
          </w:tcPr>
          <w:p>
            <w:pPr>
              <w:pStyle w:val="TableContents"/>
              <w:bidi w:val="0"/>
              <w:spacing w:before="0" w:after="283"/>
              <w:jc w:val="left"/>
              <w:rPr>
                <w:sz w:val="4"/>
                <w:szCs w:val="4"/>
              </w:rPr>
            </w:pPr>
            <w:r>
              <w:rPr>
                <w:sz w:val="4"/>
                <w:szCs w:val="4"/>
              </w:rPr>
            </w:r>
          </w:p>
        </w:tc>
      </w:tr>
      <w:tr>
        <w:trPr/>
        <w:tc>
          <w:tcPr>
            <w:tcW w:w="1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15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(71,451)</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At December 31, 2025</w:t>
            </w:r>
          </w:p>
        </w:tc>
        <w:tc>
          <w:tcPr>
            <w:tcW w:w="156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7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9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2020 Omnibus Incentive Plan</w:t>
      </w:r>
    </w:p>
    <w:p>
      <w:pPr>
        <w:pStyle w:val="TextBody"/>
        <w:bidi w:val="0"/>
        <w:spacing w:lineRule="auto" w:line="288" w:before="200" w:after="283"/>
        <w:jc w:val="left"/>
        <w:rPr/>
      </w:pPr>
      <w:r>
        <w:rPr>
          <w:rFonts w:ascii="Times New Roman;serif" w:hAnsi="Times New Roman;serif"/>
          <w:b w:val="false"/>
          <w:color w:val="000000"/>
          <w:sz w:val="20"/>
        </w:rPr>
        <w:t xml:space="preserve">We maintain the 2020 Plan that allows for grants of incentive stock options to employees (including employees of any of our subsidiaries), nonstatutory stock options, restricted stock awards (“RSAs”), RSUs, PSUs and other cash-based, equity-based or equity-related awards to employees, directors, and consultants, including employees or consultants of our subsidiaries. A maximum of 27.9 million shares of common stock were originally available for awards under the 2020 Plan. At December 31, 2025, </w:t>
      </w:r>
      <w:r>
        <w:rPr>
          <w:rFonts w:ascii="Times New Roman;serif" w:hAnsi="Times New Roman;serif"/>
          <w:b w:val="false"/>
          <w:color w:val="000000"/>
          <w:sz w:val="20"/>
          <w:shd w:fill="FFFFFF" w:val="clear"/>
        </w:rPr>
        <w:t>13.8 million</w:t>
      </w:r>
      <w:r>
        <w:rPr>
          <w:color w:val="000000"/>
        </w:rPr>
        <w:t xml:space="preserve"> </w:t>
      </w:r>
      <w:r>
        <w:rPr>
          <w:rFonts w:ascii="Times New Roman;serif" w:hAnsi="Times New Roman;serif"/>
          <w:b w:val="false"/>
          <w:color w:val="000000"/>
          <w:sz w:val="20"/>
        </w:rPr>
        <w:t>shares were available for future awards. The Company plans to issue authorized but unissued shares under t</w:t>
      </w:r>
      <w:r>
        <w:rPr>
          <w:rFonts w:ascii="Times New Roman;serif" w:hAnsi="Times New Roman;serif"/>
          <w:b w:val="false"/>
          <w:color w:val="000000"/>
          <w:sz w:val="20"/>
          <w:shd w:fill="FFFFFF" w:val="clear"/>
        </w:rPr>
        <w:t xml:space="preserve">he 2020 </w:t>
      </w:r>
      <w:r>
        <w:rPr>
          <w:rFonts w:ascii="Times New Roman;serif" w:hAnsi="Times New Roman;serif"/>
          <w:b w:val="false"/>
          <w:color w:val="000000"/>
          <w:sz w:val="20"/>
        </w:rPr>
        <w:t>Plan or shares from treasury to satisfy requirements of awards paid with shares.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In March 2025, we awarded PSUs to certain members of the Company’s senior executive team. PSUs are designed to vest based on a combination of financial performance factors and continued service through the end of a three-year performance period. The PSUs’ financial performance factors have a threshold, target and maximum level of achievement and vest according to the performance level achieved by the Company during the performance period. Upon issuance of PSUs, we assume the financial performance target will be reached for the measurement period when determining the amount of compensation expense. If information becomes available to indicate that achievement above the target level is probable, compensation expense is adjusted accordingly.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96"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94</w:t>
                      </w:r>
                    </w:p>
                  </w:txbxContent>
                </v:textbox>
                <w10:wrap type="none"/>
              </v:rect>
            </w:pict>
          </mc:Fallback>
        </mc:AlternateContent>
      </w:r>
    </w:p>
    <w:p>
      <w:pPr>
        <w:pStyle w:val="TextBody"/>
        <w:bidi w:val="0"/>
        <w:spacing w:lineRule="auto" w:line="288" w:before="0" w:after="0"/>
        <w:jc w:val="left"/>
        <w:rPr/>
      </w:pPr>
      <w:hyperlink w:anchor="i27c953b2e3004595bc062f37867a09bd_7">
        <w:r>
          <w:rPr>
            <w:rStyle w:val="InternetLink"/>
            <w:rFonts w:ascii="Times New Roman;serif" w:hAnsi="Times New Roman;serif"/>
            <w:b w:val="false"/>
            <w:color w:val="0000FF"/>
            <w:sz w:val="20"/>
            <w:u w:val="single"/>
          </w:rPr>
          <w:t>Table of Contents</w:t>
        </w:r>
      </w:hyperlink>
    </w:p>
    <w:p>
      <w:pPr>
        <w:pStyle w:val="TextBody"/>
        <w:bidi w:val="0"/>
        <w:spacing w:lineRule="auto" w:line="288" w:before="40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Sotera Health Company </w:t>
      </w:r>
    </w:p>
    <w:p>
      <w:pPr>
        <w:pStyle w:val="TextBody"/>
        <w:bidi w:val="0"/>
        <w:spacing w:lineRule="auto" w:line="288" w:before="60" w:after="240"/>
        <w:jc w:val="center"/>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In addition, in March 2025, we awarded RSUs to certain members of the Company’s senior executive team with a performance modifier based on the achievement of growth targets for the market value of the Company’s common stock price. The amount of awards that vest at the end of a service period may exceed the target number of RSUs awarded based on the stock price growth achieved.</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In March 2025, our CEO was awarded PSUs (also referred to as share appreciation units or “SAUs”) that vest according to the achievement of stock price increases over their three-year performance period.</w:t>
      </w:r>
    </w:p>
    <w:p>
      <w:pPr>
        <w:pStyle w:val="TextBody"/>
        <w:bidi w:val="0"/>
        <w:spacing w:lineRule="auto" w:line="288" w:before="200" w:after="283"/>
        <w:jc w:val="left"/>
        <w:rPr/>
      </w:pPr>
      <w:r>
        <w:rPr>
          <w:rFonts w:ascii="Times New Roman;serif" w:hAnsi="Times New Roman;serif"/>
          <w:b w:val="false"/>
          <w:color w:val="000000"/>
          <w:sz w:val="20"/>
        </w:rPr>
        <w:t>We recognize share-based compensation expense at grant date fair value over the requisite service period on a straight-line basis in our Consolidated Statements of Operations and Comprehensive Income (Loss), in “Selling, general and administrative expenses.” We recognized $30.5 million</w:t>
      </w:r>
      <w:r>
        <w:rPr>
          <w:color w:val="000000"/>
          <w:shd w:fill="FFFFFF" w:val="clear"/>
        </w:rPr>
        <w:t xml:space="preserve"> </w:t>
      </w:r>
      <w:r>
        <w:rPr>
          <w:rFonts w:ascii="Times New Roman;serif" w:hAnsi="Times New Roman;serif"/>
          <w:b w:val="false"/>
          <w:color w:val="000000"/>
          <w:sz w:val="20"/>
          <w:shd w:fill="FFFFFF" w:val="clear"/>
        </w:rPr>
        <w:t>(</w:t>
      </w:r>
      <w:r>
        <w:rPr>
          <w:rFonts w:ascii="Times New Roman;serif" w:hAnsi="Times New Roman;serif"/>
          <w:b w:val="false"/>
          <w:color w:val="000000"/>
          <w:sz w:val="20"/>
        </w:rPr>
        <w:t>$7.3 million for stock options, $20.4 million for RSUs and $2.8 million for PSUs and SAUs), $35.2 million</w:t>
      </w:r>
      <w:r>
        <w:rPr>
          <w:color w:val="000000"/>
          <w:shd w:fill="FFFFFF" w:val="clear"/>
        </w:rPr>
        <w:t xml:space="preserve"> </w:t>
      </w:r>
      <w:r>
        <w:rPr>
          <w:rFonts w:ascii="Times New Roman;serif" w:hAnsi="Times New Roman;serif"/>
          <w:b w:val="false"/>
          <w:color w:val="000000"/>
          <w:sz w:val="20"/>
          <w:shd w:fill="FFFFFF" w:val="clear"/>
        </w:rPr>
        <w:t>(</w:t>
      </w:r>
      <w:r>
        <w:rPr>
          <w:rFonts w:ascii="Times New Roman;serif" w:hAnsi="Times New Roman;serif"/>
          <w:b w:val="false"/>
          <w:color w:val="000000"/>
          <w:sz w:val="20"/>
        </w:rPr>
        <w:t xml:space="preserve">$16.4 million for stock options and $18.8 million for RSUs) and $30.4 million ($14.4 million for stock options and $16.0 million for RSUs) </w:t>
      </w:r>
      <w:r>
        <w:rPr>
          <w:rFonts w:ascii="Times New Roman;serif" w:hAnsi="Times New Roman;serif"/>
          <w:b w:val="false"/>
          <w:color w:val="000000"/>
          <w:sz w:val="20"/>
          <w:shd w:fill="FFFFFF" w:val="clear"/>
        </w:rPr>
        <w:t>of share-based c</w:t>
      </w:r>
      <w:r>
        <w:rPr>
          <w:rFonts w:ascii="Times New Roman;serif" w:hAnsi="Times New Roman;serif"/>
          <w:b w:val="false"/>
          <w:color w:val="000000"/>
          <w:sz w:val="20"/>
        </w:rPr>
        <w:t>ompensation expense for these awards for the years ended December 31, 2025, 2024 and 2023, respectively.</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Stock Options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We use a Black-Scholes option pricing model to estimate the fair value of stock options. The expected volatility is based on the volatility of similar publicly traded businesses within the same or similar industry as the Company in combination with our own volatility. We used the simplified method to estimate the expected term due to the limited quantity of historical stock option exercises. The risk-free rate is based on the U.S. Treasury yield in effect at the time of the grant.</w:t>
      </w:r>
    </w:p>
    <w:p>
      <w:pPr>
        <w:pStyle w:val="TextBody"/>
        <w:bidi w:val="0"/>
        <w:spacing w:lineRule="auto" w:line="288" w:before="200" w:after="283"/>
        <w:jc w:val="left"/>
        <w:rPr/>
      </w:pPr>
      <w:r>
        <w:rPr>
          <w:rFonts w:ascii="Times New Roman;serif" w:hAnsi="Times New Roman;serif"/>
          <w:b w:val="false"/>
          <w:color w:val="000000"/>
          <w:sz w:val="20"/>
        </w:rPr>
        <w:t>Weighted-average grant-date fair values of stock options and the assumptions used in estimating the fair values are as follows. No stock options were granted during the year ended</w:t>
      </w:r>
      <w:r>
        <w:rPr>
          <w:color w:val="000000"/>
        </w:rPr>
        <w:t xml:space="preserve"> </w:t>
      </w:r>
      <w:r>
        <w:rPr>
          <w:rFonts w:ascii="Times New Roman;serif" w:hAnsi="Times New Roman;serif"/>
          <w:b w:val="false"/>
          <w:color w:val="000000"/>
          <w:sz w:val="20"/>
        </w:rPr>
        <w:t>December 31, 2025.</w:t>
      </w:r>
    </w:p>
    <w:tbl>
      <w:tblPr>
        <w:tblW w:w="6170" w:type="dxa"/>
        <w:jc w:val="left"/>
        <w:tblInd w:w="0" w:type="dxa"/>
        <w:tblLayout w:type="fixed"/>
        <w:tblCellMar>
          <w:top w:w="28" w:type="dxa"/>
          <w:left w:w="28" w:type="dxa"/>
          <w:bottom w:w="28" w:type="dxa"/>
          <w:right w:w="28" w:type="dxa"/>
        </w:tblCellMar>
      </w:tblPr>
      <w:tblGrid>
        <w:gridCol w:w="1496"/>
        <w:gridCol w:w="1319"/>
        <w:gridCol w:w="1324"/>
        <w:gridCol w:w="211"/>
        <w:gridCol w:w="511"/>
        <w:gridCol w:w="271"/>
        <w:gridCol w:w="211"/>
        <w:gridCol w:w="511"/>
        <w:gridCol w:w="316"/>
      </w:tblGrid>
      <w:tr>
        <w:trPr/>
        <w:tc>
          <w:tcPr>
            <w:tcW w:w="1496"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For the year ended December 31,</w:t>
            </w:r>
          </w:p>
        </w:tc>
        <w:tc>
          <w:tcPr>
            <w:tcW w:w="99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3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41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Weighted average grant date fair value per option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term (years)</w:t>
            </w:r>
          </w:p>
        </w:tc>
        <w:tc>
          <w:tcPr>
            <w:tcW w:w="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years</w:t>
            </w:r>
          </w:p>
        </w:tc>
        <w:tc>
          <w:tcPr>
            <w:tcW w:w="10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years</w:t>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volatility</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Stock options generally vest ratably over a period of two to four years. They have an exercise price equal to the fair market value of a share of common stock on the date of grant, and a contractual term of 10 years. The following table summarizes our stock option activity for the year ended December 31, 2025:</w:t>
      </w:r>
    </w:p>
    <w:tbl>
      <w:tblPr>
        <w:tblW w:w="10205" w:type="dxa"/>
        <w:jc w:val="left"/>
        <w:tblInd w:w="0" w:type="dxa"/>
        <w:tblLayout w:type="fixed"/>
        <w:tblCellMar>
          <w:top w:w="28" w:type="dxa"/>
          <w:left w:w="28" w:type="dxa"/>
          <w:bottom w:w="28" w:type="dxa"/>
          <w:right w:w="28" w:type="dxa"/>
        </w:tblCellMar>
      </w:tblPr>
      <w:tblGrid>
        <w:gridCol w:w="916"/>
        <w:gridCol w:w="793"/>
        <w:gridCol w:w="798"/>
        <w:gridCol w:w="495"/>
        <w:gridCol w:w="496"/>
        <w:gridCol w:w="375"/>
        <w:gridCol w:w="109"/>
        <w:gridCol w:w="109"/>
        <w:gridCol w:w="109"/>
        <w:gridCol w:w="460"/>
        <w:gridCol w:w="1380"/>
        <w:gridCol w:w="239"/>
        <w:gridCol w:w="109"/>
        <w:gridCol w:w="109"/>
        <w:gridCol w:w="109"/>
        <w:gridCol w:w="561"/>
        <w:gridCol w:w="561"/>
        <w:gridCol w:w="562"/>
        <w:gridCol w:w="109"/>
        <w:gridCol w:w="109"/>
        <w:gridCol w:w="109"/>
        <w:gridCol w:w="380"/>
        <w:gridCol w:w="923"/>
        <w:gridCol w:w="285"/>
      </w:tblGrid>
      <w:tr>
        <w:trPr/>
        <w:tc>
          <w:tcPr>
            <w:tcW w:w="916"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r>
      <w:tr>
        <w:trPr/>
        <w:tc>
          <w:tcPr>
            <w:tcW w:w="250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6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Weighted-average 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Remaining Contractual Life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Aggregate Intrinsic Value</w:t>
            </w:r>
          </w:p>
          <w:p>
            <w:pPr>
              <w:pStyle w:val="TableContents"/>
              <w:bidi w:val="0"/>
              <w:spacing w:lineRule="auto" w:line="288" w:before="0" w:after="0"/>
              <w:jc w:val="center"/>
              <w:rPr/>
            </w:pPr>
            <w:r>
              <w:rPr>
                <w:color w:val="000000"/>
              </w:rPr>
              <w:t> </w:t>
            </w:r>
            <w:r>
              <w:rPr>
                <w:rFonts w:ascii="Times New Roman;serif" w:hAnsi="Times New Roman;serif"/>
                <w:b w:val="false"/>
                <w:color w:val="000000"/>
                <w:sz w:val="16"/>
              </w:rPr>
              <w:t>(</w:t>
            </w:r>
            <w:r>
              <w:rPr>
                <w:rFonts w:ascii="Times New Roman;serif" w:hAnsi="Times New Roman;serif"/>
                <w:b w:val="false"/>
                <w:i/>
                <w:color w:val="000000"/>
                <w:sz w:val="16"/>
              </w:rPr>
              <w:t>millions of U.S. dollars</w:t>
            </w:r>
            <w:r>
              <w:rPr>
                <w:rFonts w:ascii="Times New Roman;serif" w:hAnsi="Times New Roman;serif"/>
                <w:b w:val="false"/>
                <w:color w:val="000000"/>
                <w:sz w:val="16"/>
              </w:rPr>
              <w:t>)</w:t>
            </w:r>
          </w:p>
        </w:tc>
      </w:tr>
      <w:tr>
        <w:trPr/>
        <w:tc>
          <w:tcPr>
            <w:tcW w:w="25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the beginning of the year</w:t>
            </w:r>
          </w:p>
        </w:tc>
        <w:tc>
          <w:tcPr>
            <w:tcW w:w="9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8,328,051 </w:t>
            </w:r>
          </w:p>
        </w:tc>
        <w:tc>
          <w:tcPr>
            <w:tcW w:w="3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14.94 </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8" w:type="dxa"/>
            <w:gridSpan w:val="3"/>
            <w:tcBorders/>
            <w:vAlign w:val="center"/>
          </w:tcPr>
          <w:p>
            <w:pPr>
              <w:pStyle w:val="TableContents"/>
              <w:bidi w:val="0"/>
              <w:spacing w:before="0" w:after="283"/>
              <w:jc w:val="left"/>
              <w:rPr>
                <w:sz w:val="4"/>
                <w:szCs w:val="4"/>
              </w:rPr>
            </w:pPr>
            <w:r>
              <w:rPr>
                <w:sz w:val="4"/>
                <w:szCs w:val="4"/>
              </w:rPr>
            </w:r>
          </w:p>
        </w:tc>
      </w:tr>
      <w:tr>
        <w:trPr/>
        <w:tc>
          <w:tcPr>
            <w:tcW w:w="25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(113,221)</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18.92 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(30,949)</w:t>
            </w:r>
          </w:p>
        </w:tc>
        <w:tc>
          <w:tcPr>
            <w:tcW w:w="3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14.59 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Outstanding at the end of the year</w:t>
            </w:r>
          </w:p>
        </w:tc>
        <w:tc>
          <w:tcPr>
            <w:tcW w:w="9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8,183,881</w:t>
            </w:r>
            <w:r>
              <w:rPr>
                <w:color w:val="000000"/>
              </w:rPr>
              <w:t> </w:t>
            </w:r>
          </w:p>
        </w:tc>
        <w:tc>
          <w:tcPr>
            <w:tcW w:w="3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3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14.89</w:t>
            </w:r>
            <w:r>
              <w:rPr>
                <w:color w:val="000000"/>
              </w:rPr>
              <w:t> </w:t>
            </w:r>
          </w:p>
        </w:tc>
        <w:tc>
          <w:tcPr>
            <w:tcW w:w="2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Exercisable at the end of the year</w:t>
            </w:r>
          </w:p>
        </w:tc>
        <w:tc>
          <w:tcPr>
            <w:tcW w:w="99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6,841,193</w:t>
            </w:r>
            <w:r>
              <w:rPr>
                <w:color w:val="000000"/>
              </w:rPr>
              <w:t> </w:t>
            </w:r>
          </w:p>
        </w:tc>
        <w:tc>
          <w:tcPr>
            <w:tcW w:w="37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38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14.80</w:t>
            </w:r>
            <w:r>
              <w:rPr>
                <w:color w:val="000000"/>
              </w:rPr>
              <w:t> </w:t>
            </w:r>
          </w:p>
        </w:tc>
        <w:tc>
          <w:tcPr>
            <w:tcW w:w="23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4"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32.2 </w:t>
            </w:r>
          </w:p>
        </w:tc>
        <w:tc>
          <w:tcPr>
            <w:tcW w:w="28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Unvested at the end of the year</w:t>
            </w:r>
          </w:p>
        </w:tc>
        <w:tc>
          <w:tcPr>
            <w:tcW w:w="991"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1,342,688</w:t>
            </w:r>
            <w:r>
              <w:rPr>
                <w:color w:val="000000"/>
              </w:rPr>
              <w:t> </w:t>
            </w:r>
          </w:p>
        </w:tc>
        <w:tc>
          <w:tcPr>
            <w:tcW w:w="37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38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15.32</w:t>
            </w:r>
            <w:r>
              <w:rPr>
                <w:color w:val="000000"/>
              </w:rPr>
              <w:t> </w:t>
            </w:r>
          </w:p>
        </w:tc>
        <w:tc>
          <w:tcPr>
            <w:tcW w:w="23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4"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28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At December 31, 2025, the total unrecognized compensation expense related to stock options expected to be recognized over the weighted-average period of approximately 1.1 years is $4.9 million. The total fair value of stock options vested during the years ended December 31, 2025, 2024 and 2023 was $9.8 million, $16.3 million and $10.6 million, respectively.</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RSUs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RSUs generally vest ratably over a period of one to four years and are valued based on the market price on the date of grant. For RSUs with performance modifiers, management estimated the fair value using a Monte Carlo simulation valuation model, 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97"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95</w:t>
                      </w:r>
                    </w:p>
                  </w:txbxContent>
                </v:textbox>
                <w10:wrap type="none"/>
              </v:rect>
            </w:pict>
          </mc:Fallback>
        </mc:AlternateContent>
      </w:r>
    </w:p>
    <w:p>
      <w:pPr>
        <w:pStyle w:val="TextBody"/>
        <w:bidi w:val="0"/>
        <w:spacing w:lineRule="auto" w:line="288" w:before="0" w:after="0"/>
        <w:jc w:val="left"/>
        <w:rPr/>
      </w:pPr>
      <w:hyperlink w:anchor="i27c953b2e3004595bc062f37867a09bd_7">
        <w:r>
          <w:rPr>
            <w:rStyle w:val="InternetLink"/>
            <w:rFonts w:ascii="Times New Roman;serif" w:hAnsi="Times New Roman;serif"/>
            <w:b w:val="false"/>
            <w:color w:val="0000FF"/>
            <w:sz w:val="20"/>
            <w:u w:val="single"/>
          </w:rPr>
          <w:t>Table of Contents</w:t>
        </w:r>
      </w:hyperlink>
    </w:p>
    <w:p>
      <w:pPr>
        <w:pStyle w:val="TextBody"/>
        <w:bidi w:val="0"/>
        <w:spacing w:lineRule="auto" w:line="288" w:before="40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Sotera Health Company </w:t>
      </w:r>
    </w:p>
    <w:p>
      <w:pPr>
        <w:pStyle w:val="TextBody"/>
        <w:bidi w:val="0"/>
        <w:spacing w:lineRule="auto" w:line="288" w:before="60" w:after="240"/>
        <w:jc w:val="center"/>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these awards are subject to a market condition. The following table summarizes our unvested RSUs activity for the year ended December 31, 2025:</w:t>
      </w:r>
    </w:p>
    <w:tbl>
      <w:tblPr>
        <w:tblW w:w="8207" w:type="dxa"/>
        <w:jc w:val="left"/>
        <w:tblInd w:w="0" w:type="dxa"/>
        <w:tblLayout w:type="fixed"/>
        <w:tblCellMar>
          <w:top w:w="28" w:type="dxa"/>
          <w:left w:w="28" w:type="dxa"/>
          <w:bottom w:w="28" w:type="dxa"/>
          <w:right w:w="28" w:type="dxa"/>
        </w:tblCellMar>
      </w:tblPr>
      <w:tblGrid>
        <w:gridCol w:w="1146"/>
        <w:gridCol w:w="1008"/>
        <w:gridCol w:w="1011"/>
        <w:gridCol w:w="524"/>
        <w:gridCol w:w="526"/>
        <w:gridCol w:w="471"/>
        <w:gridCol w:w="109"/>
        <w:gridCol w:w="109"/>
        <w:gridCol w:w="109"/>
        <w:gridCol w:w="675"/>
        <w:gridCol w:w="2023"/>
        <w:gridCol w:w="496"/>
      </w:tblGrid>
      <w:tr>
        <w:trPr/>
        <w:tc>
          <w:tcPr>
            <w:tcW w:w="1146"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2023"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2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Weighted-average Grant Date Fair Value</w:t>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at the beginning of the year</w:t>
            </w:r>
          </w:p>
        </w:tc>
        <w:tc>
          <w:tcPr>
            <w:tcW w:w="10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2,278,537 </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13.73 </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1,583,130 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13.48 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(89,892)</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12.87 </w:t>
            </w:r>
          </w:p>
        </w:tc>
        <w:tc>
          <w:tcPr>
            <w:tcW w:w="4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(1,365,684)</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12.74 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Unvested at the end of the year</w:t>
            </w:r>
          </w:p>
        </w:tc>
        <w:tc>
          <w:tcPr>
            <w:tcW w:w="105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2,406,091</w:t>
            </w:r>
            <w:r>
              <w:rPr>
                <w:color w:val="000000"/>
              </w:rPr>
              <w:t> </w:t>
            </w:r>
          </w:p>
        </w:tc>
        <w:tc>
          <w:tcPr>
            <w:tcW w:w="4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20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14.16</w:t>
            </w:r>
            <w:r>
              <w:rPr>
                <w:color w:val="000000"/>
              </w:rPr>
              <w:t> </w:t>
            </w:r>
          </w:p>
        </w:tc>
        <w:tc>
          <w:tcPr>
            <w:tcW w:w="4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As of December 31, 2025, total unrecognized compensation expense related to RSUs expected to be recognized over the weighted-average period of approximately 1.7 years is $18.6 million. The total fair value of RSUs vested during the years ended December 31, 2025, 2024 and 2023 was $17.3 million, $15.4 million and $14.1 million, respectively. The weighted average grant date fair value of RSUs awarded during the years ended December 31, 2024 and 2023 was $14.05 and $16.95, respectively.</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PSUs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PSUs vest at the end of a three-year service period and are valued based on our market price on the date of grant. PSUs awarded to our CEO with vesting conditions dependent upon the achievement of stock price increases were valued using a Monte Carlo simulation valuation model. The following table summarizes our unvested PSUs for the year ended December 31, 2025:</w:t>
      </w:r>
    </w:p>
    <w:tbl>
      <w:tblPr>
        <w:tblW w:w="6519" w:type="dxa"/>
        <w:jc w:val="left"/>
        <w:tblInd w:w="0" w:type="dxa"/>
        <w:tblLayout w:type="fixed"/>
        <w:tblCellMar>
          <w:top w:w="28" w:type="dxa"/>
          <w:left w:w="28" w:type="dxa"/>
          <w:bottom w:w="28" w:type="dxa"/>
          <w:right w:w="28" w:type="dxa"/>
        </w:tblCellMar>
      </w:tblPr>
      <w:tblGrid>
        <w:gridCol w:w="999"/>
        <w:gridCol w:w="877"/>
        <w:gridCol w:w="883"/>
        <w:gridCol w:w="469"/>
        <w:gridCol w:w="469"/>
        <w:gridCol w:w="471"/>
        <w:gridCol w:w="109"/>
        <w:gridCol w:w="109"/>
        <w:gridCol w:w="109"/>
        <w:gridCol w:w="428"/>
        <w:gridCol w:w="1282"/>
        <w:gridCol w:w="314"/>
      </w:tblGrid>
      <w:tr>
        <w:trPr/>
        <w:tc>
          <w:tcPr>
            <w:tcW w:w="999"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Weighted-average Grant </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Date Fair Value</w:t>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at December 31, 2024</w:t>
            </w:r>
          </w:p>
        </w:tc>
        <w:tc>
          <w:tcPr>
            <w:tcW w:w="9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865,256 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10.86 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(5,604)</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11.68 </w:t>
            </w:r>
          </w:p>
        </w:tc>
        <w:tc>
          <w:tcPr>
            <w:tcW w:w="3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Unvested at December 31, 2025</w:t>
            </w:r>
          </w:p>
        </w:tc>
        <w:tc>
          <w:tcPr>
            <w:tcW w:w="93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859,652</w:t>
            </w:r>
            <w:r>
              <w:rPr>
                <w:color w:val="000000"/>
              </w:rPr>
              <w:t> </w:t>
            </w:r>
          </w:p>
        </w:tc>
        <w:tc>
          <w:tcPr>
            <w:tcW w:w="4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4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10.86</w:t>
            </w:r>
            <w:r>
              <w:rPr>
                <w:color w:val="000000"/>
              </w:rPr>
              <w:t> </w:t>
            </w:r>
          </w:p>
        </w:tc>
        <w:tc>
          <w:tcPr>
            <w:tcW w:w="3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360"/>
        <w:jc w:val="left"/>
        <w:rPr>
          <w:rFonts w:ascii="Times New Roman;serif" w:hAnsi="Times New Roman;serif"/>
          <w:b/>
          <w:color w:val="000000"/>
          <w:sz w:val="20"/>
        </w:rPr>
      </w:pPr>
      <w:r>
        <w:rPr>
          <w:rFonts w:ascii="Times New Roman;serif" w:hAnsi="Times New Roman;serif"/>
          <w:b/>
          <w:color w:val="000000"/>
          <w:sz w:val="20"/>
        </w:rPr>
        <w:t xml:space="preserve">16.Earnings Per Share </w:t>
      </w:r>
    </w:p>
    <w:p>
      <w:pPr>
        <w:pStyle w:val="TextBody"/>
        <w:bidi w:val="0"/>
        <w:spacing w:lineRule="auto" w:line="288" w:before="240" w:after="283"/>
        <w:jc w:val="left"/>
        <w:rPr/>
      </w:pPr>
      <w:r>
        <w:rPr>
          <w:rFonts w:ascii="Times New Roman;serif" w:hAnsi="Times New Roman;serif"/>
          <w:b w:val="false"/>
          <w:color w:val="000000"/>
          <w:sz w:val="20"/>
        </w:rPr>
        <w:t>Basic earnings per share represents the amount of income attributable to each common share outstanding. Diluted earnings per share represents the amount of income attributable to each common share outstanding adjusted for the effects of potentially dilutive common shares. Potentially dilutive common shares include stock options and other stock-based awards. In the periods where the effect would be antidilutive, potentially dilutive common shares are excluded from the calculation of diluted earnings per share</w:t>
      </w:r>
      <w:r>
        <w:rPr>
          <w:rFonts w:ascii="Times New Roman;serif" w:hAnsi="Times New Roman;serif"/>
          <w:b w:val="false"/>
          <w:color w:val="000000"/>
          <w:sz w:val="24"/>
        </w:rPr>
        <w:t>.</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In periods in which the Company has net income, earnings per share is calculated using the two-class method. This method is required as unvested pre-IPO restricted stock awards have the right to receive non-forfeitable dividends or dividend equivalents if the Company were to declare dividends on its common stock. Pursuant to the two-class method, earnings for each period are allocated on a pro-rata basis to common stockholders and unvested pre-IPO restricted stock awards. Diluted earnings per share is computed using the more dilutive of (a) the two-class method, or (b) treasury stock method, as applicable, to the potentially dilutive instruments.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98"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96</w:t>
                      </w:r>
                    </w:p>
                  </w:txbxContent>
                </v:textbox>
                <w10:wrap type="none"/>
              </v:rect>
            </w:pict>
          </mc:Fallback>
        </mc:AlternateContent>
      </w:r>
    </w:p>
    <w:p>
      <w:pPr>
        <w:pStyle w:val="TextBody"/>
        <w:bidi w:val="0"/>
        <w:spacing w:lineRule="auto" w:line="288" w:before="0" w:after="0"/>
        <w:jc w:val="left"/>
        <w:rPr/>
      </w:pPr>
      <w:hyperlink w:anchor="i27c953b2e3004595bc062f37867a09bd_7">
        <w:r>
          <w:rPr>
            <w:rStyle w:val="InternetLink"/>
            <w:rFonts w:ascii="Times New Roman;serif" w:hAnsi="Times New Roman;serif"/>
            <w:b w:val="false"/>
            <w:color w:val="0000FF"/>
            <w:sz w:val="20"/>
            <w:u w:val="single"/>
          </w:rPr>
          <w:t>Table of Contents</w:t>
        </w:r>
      </w:hyperlink>
    </w:p>
    <w:p>
      <w:pPr>
        <w:pStyle w:val="TextBody"/>
        <w:bidi w:val="0"/>
        <w:spacing w:lineRule="auto" w:line="288" w:before="40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Sotera Health Company </w:t>
      </w:r>
    </w:p>
    <w:p>
      <w:pPr>
        <w:pStyle w:val="TextBody"/>
        <w:bidi w:val="0"/>
        <w:spacing w:lineRule="auto" w:line="288" w:before="60" w:after="240"/>
        <w:jc w:val="center"/>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w:t>
      </w:r>
    </w:p>
    <w:p>
      <w:pPr>
        <w:pStyle w:val="TextBody"/>
        <w:bidi w:val="0"/>
        <w:spacing w:lineRule="auto" w:line="288" w:before="200" w:after="283"/>
        <w:jc w:val="left"/>
        <w:rPr/>
      </w:pPr>
      <w:r>
        <w:rPr>
          <w:rFonts w:ascii="Times New Roman;serif" w:hAnsi="Times New Roman;serif"/>
          <w:b w:val="false"/>
          <w:color w:val="000000"/>
          <w:sz w:val="20"/>
        </w:rPr>
        <w:t>Our</w:t>
      </w:r>
      <w:r>
        <w:rPr>
          <w:color w:val="000000"/>
        </w:rPr>
        <w:t xml:space="preserve"> </w:t>
      </w:r>
      <w:r>
        <w:rPr>
          <w:rFonts w:ascii="Times New Roman;serif" w:hAnsi="Times New Roman;serif"/>
          <w:b w:val="false"/>
          <w:color w:val="000000"/>
          <w:sz w:val="20"/>
        </w:rPr>
        <w:t>basic and diluted earnings per common share are calculated as follows:</w:t>
      </w:r>
    </w:p>
    <w:tbl>
      <w:tblPr>
        <w:tblW w:w="10205" w:type="dxa"/>
        <w:jc w:val="left"/>
        <w:tblInd w:w="0" w:type="dxa"/>
        <w:tblLayout w:type="fixed"/>
        <w:tblCellMar>
          <w:top w:w="28" w:type="dxa"/>
          <w:left w:w="28" w:type="dxa"/>
          <w:bottom w:w="28" w:type="dxa"/>
          <w:right w:w="28" w:type="dxa"/>
        </w:tblCellMar>
      </w:tblPr>
      <w:tblGrid>
        <w:gridCol w:w="2449"/>
        <w:gridCol w:w="1954"/>
        <w:gridCol w:w="1963"/>
        <w:gridCol w:w="211"/>
        <w:gridCol w:w="736"/>
        <w:gridCol w:w="109"/>
        <w:gridCol w:w="109"/>
        <w:gridCol w:w="109"/>
        <w:gridCol w:w="109"/>
        <w:gridCol w:w="211"/>
        <w:gridCol w:w="721"/>
        <w:gridCol w:w="109"/>
        <w:gridCol w:w="109"/>
        <w:gridCol w:w="109"/>
        <w:gridCol w:w="109"/>
        <w:gridCol w:w="211"/>
        <w:gridCol w:w="721"/>
        <w:gridCol w:w="156"/>
      </w:tblGrid>
      <w:tr>
        <w:trPr/>
        <w:tc>
          <w:tcPr>
            <w:tcW w:w="2449" w:type="dxa"/>
            <w:tcBorders/>
            <w:vAlign w:val="center"/>
          </w:tcPr>
          <w:p>
            <w:pPr>
              <w:pStyle w:val="TableContents"/>
              <w:bidi w:val="0"/>
              <w:spacing w:before="0" w:after="283"/>
              <w:jc w:val="left"/>
              <w:rPr>
                <w:sz w:val="4"/>
                <w:szCs w:val="4"/>
              </w:rPr>
            </w:pPr>
            <w:r>
              <w:rPr>
                <w:sz w:val="4"/>
                <w:szCs w:val="4"/>
              </w:rPr>
            </w:r>
          </w:p>
        </w:tc>
        <w:tc>
          <w:tcPr>
            <w:tcW w:w="1954" w:type="dxa"/>
            <w:tcBorders/>
            <w:vAlign w:val="center"/>
          </w:tcPr>
          <w:p>
            <w:pPr>
              <w:pStyle w:val="TableContents"/>
              <w:bidi w:val="0"/>
              <w:spacing w:before="0" w:after="283"/>
              <w:jc w:val="left"/>
              <w:rPr>
                <w:sz w:val="4"/>
                <w:szCs w:val="4"/>
              </w:rPr>
            </w:pPr>
            <w:r>
              <w:rPr>
                <w:sz w:val="4"/>
                <w:szCs w:val="4"/>
              </w:rPr>
            </w:r>
          </w:p>
        </w:tc>
        <w:tc>
          <w:tcPr>
            <w:tcW w:w="196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63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in thousands of U.S. dollars and share amounts (except per share amounts)</w:t>
            </w:r>
          </w:p>
        </w:tc>
        <w:tc>
          <w:tcPr>
            <w:tcW w:w="10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6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Earnings:</w:t>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77,949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51,376 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Allocation to participating securities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6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Sotera Health Company common stockholders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77,945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51,089 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Weighted Average Common Shares:</w:t>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common shares outstanding - basic</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283,956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282,784 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281,008 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Dilutive effect of potential common shares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2,465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common shares outstanding - diluted</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286,421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284,906 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283,222 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Earnings per Common Share:</w:t>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6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per common share attributable to Sotera Health Company common stockholders - basic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0.27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0.18 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6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per common share attributable to Sotera Health Company common stockholders - diluted</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0.27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Diluted earnings per shares does not consider the following potential common shares as the effect would be anti-dilutive:</w:t>
      </w:r>
    </w:p>
    <w:tbl>
      <w:tblPr>
        <w:tblW w:w="5826" w:type="dxa"/>
        <w:jc w:val="left"/>
        <w:tblInd w:w="0" w:type="dxa"/>
        <w:tblLayout w:type="fixed"/>
        <w:tblCellMar>
          <w:top w:w="28" w:type="dxa"/>
          <w:left w:w="28" w:type="dxa"/>
          <w:bottom w:w="28" w:type="dxa"/>
          <w:right w:w="28" w:type="dxa"/>
        </w:tblCellMar>
      </w:tblPr>
      <w:tblGrid>
        <w:gridCol w:w="907"/>
        <w:gridCol w:w="797"/>
        <w:gridCol w:w="800"/>
        <w:gridCol w:w="315"/>
        <w:gridCol w:w="316"/>
        <w:gridCol w:w="176"/>
        <w:gridCol w:w="140"/>
        <w:gridCol w:w="140"/>
        <w:gridCol w:w="140"/>
        <w:gridCol w:w="314"/>
        <w:gridCol w:w="317"/>
        <w:gridCol w:w="176"/>
        <w:gridCol w:w="140"/>
        <w:gridCol w:w="140"/>
        <w:gridCol w:w="140"/>
        <w:gridCol w:w="315"/>
        <w:gridCol w:w="316"/>
        <w:gridCol w:w="237"/>
      </w:tblGrid>
      <w:tr>
        <w:trPr/>
        <w:tc>
          <w:tcPr>
            <w:tcW w:w="907"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25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in thousands of share amounts</w:t>
            </w:r>
          </w:p>
        </w:tc>
        <w:tc>
          <w:tcPr>
            <w:tcW w:w="8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RSUs</w:t>
            </w:r>
          </w:p>
        </w:tc>
        <w:tc>
          <w:tcPr>
            <w:tcW w:w="6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w:t>
            </w:r>
            <w:r>
              <w:rPr>
                <w:color w:val="000000"/>
              </w:rPr>
              <w:t>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w:t>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5,550</w:t>
            </w: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5,469 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4,108 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anti-dilutive securities</w:t>
            </w:r>
          </w:p>
        </w:tc>
        <w:tc>
          <w:tcPr>
            <w:tcW w:w="63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5,559</w:t>
            </w:r>
            <w:r>
              <w:rPr>
                <w:color w:val="000000"/>
              </w:rPr>
              <w:t>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5,503</w:t>
            </w:r>
            <w:r>
              <w:rPr>
                <w:color w:val="000000"/>
              </w:rPr>
              <w:t>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4,399</w:t>
            </w:r>
            <w:r>
              <w:rPr>
                <w:color w:val="000000"/>
              </w:rPr>
              <w:t> </w:t>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360"/>
        <w:jc w:val="left"/>
        <w:rPr>
          <w:rFonts w:ascii="Times New Roman;serif" w:hAnsi="Times New Roman;serif"/>
          <w:b/>
          <w:color w:val="000000"/>
          <w:sz w:val="20"/>
        </w:rPr>
      </w:pPr>
      <w:r>
        <w:rPr>
          <w:rFonts w:ascii="Times New Roman;serif" w:hAnsi="Times New Roman;serif"/>
          <w:b/>
          <w:color w:val="000000"/>
          <w:sz w:val="20"/>
        </w:rPr>
        <w:t xml:space="preserve">17.Leases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 lease certain facilities and equipment under various non-cancelable leases. Most of our real property leases provide for renewal periods and rent escalations and stipulate that we pay taxes, maintenance, and certain other operating expenses applicable to the leased premises.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components of lease expense were as follows: </w:t>
      </w:r>
    </w:p>
    <w:tbl>
      <w:tblPr>
        <w:tblW w:w="6716" w:type="dxa"/>
        <w:jc w:val="left"/>
        <w:tblInd w:w="0" w:type="dxa"/>
        <w:tblLayout w:type="fixed"/>
        <w:tblCellMar>
          <w:top w:w="28" w:type="dxa"/>
          <w:left w:w="28" w:type="dxa"/>
          <w:bottom w:w="28" w:type="dxa"/>
          <w:right w:w="28" w:type="dxa"/>
        </w:tblCellMar>
      </w:tblPr>
      <w:tblGrid>
        <w:gridCol w:w="1043"/>
        <w:gridCol w:w="916"/>
        <w:gridCol w:w="920"/>
        <w:gridCol w:w="211"/>
        <w:gridCol w:w="736"/>
        <w:gridCol w:w="109"/>
        <w:gridCol w:w="109"/>
        <w:gridCol w:w="109"/>
        <w:gridCol w:w="109"/>
        <w:gridCol w:w="211"/>
        <w:gridCol w:w="721"/>
        <w:gridCol w:w="109"/>
        <w:gridCol w:w="109"/>
        <w:gridCol w:w="109"/>
        <w:gridCol w:w="109"/>
        <w:gridCol w:w="211"/>
        <w:gridCol w:w="721"/>
        <w:gridCol w:w="154"/>
      </w:tblGrid>
      <w:tr>
        <w:trPr/>
        <w:tc>
          <w:tcPr>
            <w:tcW w:w="1043"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287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(thousands of U.S. dollars)</w:t>
            </w:r>
          </w:p>
        </w:tc>
        <w:tc>
          <w:tcPr>
            <w:tcW w:w="10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pPr>
            <w:r>
              <w:rPr>
                <w:rFonts w:ascii="Times New Roman;serif" w:hAnsi="Times New Roman;serif"/>
                <w:b/>
                <w:color w:val="000000"/>
                <w:sz w:val="20"/>
              </w:rPr>
              <w:t>Operating lease costs</w:t>
            </w:r>
            <w:r>
              <w:rPr>
                <w:color w:val="000000"/>
              </w:rPr>
              <w:t xml:space="preserve"> </w:t>
            </w:r>
            <w:r>
              <w:rPr>
                <w:rFonts w:ascii="Times New Roman;serif" w:hAnsi="Times New Roman;serif"/>
                <w:b/>
                <w:i/>
                <w:color w:val="000000"/>
                <w:sz w:val="10"/>
              </w:rPr>
              <w:t>(a)</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13,207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13,920 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Finance lease costs:</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right of use assets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6,474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on lease liabilities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6,105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color w:val="000000"/>
                <w:sz w:val="20"/>
              </w:rPr>
            </w:pPr>
            <w:r>
              <w:rPr>
                <w:rFonts w:ascii="Times New Roman;serif" w:hAnsi="Times New Roman;serif"/>
                <w:b/>
                <w:color w:val="000000"/>
                <w:sz w:val="20"/>
              </w:rPr>
              <w:t>Total finance lease costs</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12,579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12,546 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color w:val="000000"/>
                <w:sz w:val="20"/>
              </w:rPr>
            </w:pPr>
            <w:r>
              <w:rPr>
                <w:rFonts w:ascii="Times New Roman;serif" w:hAnsi="Times New Roman;serif"/>
                <w:b/>
                <w:color w:val="000000"/>
                <w:sz w:val="20"/>
              </w:rPr>
              <w:t>Total lease costs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25,786</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27,769 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26,466 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540"/>
        <w:jc w:val="left"/>
        <w:rPr>
          <w:rFonts w:ascii="Times New Roman;serif" w:hAnsi="Times New Roman;serif"/>
          <w:b w:val="false"/>
          <w:color w:val="000000"/>
          <w:sz w:val="17"/>
        </w:rPr>
      </w:pPr>
      <w:r>
        <w:rPr>
          <w:rFonts w:ascii="Times New Roman;serif" w:hAnsi="Times New Roman;serif"/>
          <w:b w:val="false"/>
          <w:color w:val="000000"/>
          <w:sz w:val="17"/>
        </w:rPr>
        <w:t xml:space="preserve">(a)Includes $1.7 million, $1.5 million, and $1.4 million of short-term lease costs in the years ended December 31, 2025, 2024, and 2023, respectively.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99" name="Frame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97</w:t>
                      </w:r>
                    </w:p>
                  </w:txbxContent>
                </v:textbox>
                <w10:wrap type="none"/>
              </v:rect>
            </w:pict>
          </mc:Fallback>
        </mc:AlternateContent>
      </w:r>
    </w:p>
    <w:p>
      <w:pPr>
        <w:pStyle w:val="TextBody"/>
        <w:bidi w:val="0"/>
        <w:spacing w:lineRule="auto" w:line="288" w:before="0" w:after="0"/>
        <w:jc w:val="left"/>
        <w:rPr/>
      </w:pPr>
      <w:hyperlink w:anchor="i27c953b2e3004595bc062f37867a09bd_7">
        <w:r>
          <w:rPr>
            <w:rStyle w:val="InternetLink"/>
            <w:rFonts w:ascii="Times New Roman;serif" w:hAnsi="Times New Roman;serif"/>
            <w:b w:val="false"/>
            <w:color w:val="0000FF"/>
            <w:sz w:val="20"/>
            <w:u w:val="single"/>
          </w:rPr>
          <w:t>Table of Contents</w:t>
        </w:r>
      </w:hyperlink>
    </w:p>
    <w:p>
      <w:pPr>
        <w:pStyle w:val="TextBody"/>
        <w:bidi w:val="0"/>
        <w:spacing w:lineRule="auto" w:line="288" w:before="40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Sotera Health Company </w:t>
      </w:r>
    </w:p>
    <w:p>
      <w:pPr>
        <w:pStyle w:val="TextBody"/>
        <w:bidi w:val="0"/>
        <w:spacing w:lineRule="auto" w:line="288" w:before="60" w:after="240"/>
        <w:jc w:val="center"/>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Lease terms and discount rates were as follows:</w:t>
      </w:r>
    </w:p>
    <w:tbl>
      <w:tblPr>
        <w:tblW w:w="6262" w:type="dxa"/>
        <w:jc w:val="left"/>
        <w:tblInd w:w="0" w:type="dxa"/>
        <w:tblLayout w:type="fixed"/>
        <w:tblCellMar>
          <w:top w:w="28" w:type="dxa"/>
          <w:left w:w="28" w:type="dxa"/>
          <w:bottom w:w="28" w:type="dxa"/>
          <w:right w:w="28" w:type="dxa"/>
        </w:tblCellMar>
      </w:tblPr>
      <w:tblGrid>
        <w:gridCol w:w="1292"/>
        <w:gridCol w:w="1135"/>
        <w:gridCol w:w="1143"/>
        <w:gridCol w:w="313"/>
        <w:gridCol w:w="213"/>
        <w:gridCol w:w="567"/>
        <w:gridCol w:w="170"/>
        <w:gridCol w:w="170"/>
        <w:gridCol w:w="170"/>
        <w:gridCol w:w="292"/>
        <w:gridCol w:w="219"/>
        <w:gridCol w:w="578"/>
      </w:tblGrid>
      <w:tr>
        <w:trPr/>
        <w:tc>
          <w:tcPr>
            <w:tcW w:w="1292"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35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2025 </w:t>
            </w:r>
          </w:p>
        </w:tc>
        <w:tc>
          <w:tcPr>
            <w:tcW w:w="5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Weighted average remaining lease term:</w:t>
            </w:r>
          </w:p>
        </w:tc>
        <w:tc>
          <w:tcPr>
            <w:tcW w:w="109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10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11.1 years</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years</w:t>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leases</w:t>
            </w:r>
          </w:p>
        </w:tc>
        <w:tc>
          <w:tcPr>
            <w:tcW w:w="10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14.9 years</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 years</w:t>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Weighted average discount rate:</w:t>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6.90</w:t>
            </w:r>
            <w:r>
              <w:rPr>
                <w:color w:val="000000"/>
              </w:rPr>
              <w:t> </w:t>
            </w:r>
          </w:p>
        </w:tc>
        <w:tc>
          <w:tcPr>
            <w:tcW w:w="5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6.57 </w:t>
            </w:r>
          </w:p>
        </w:tc>
        <w:tc>
          <w:tcPr>
            <w:tcW w:w="5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leases</w:t>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6.55</w:t>
            </w:r>
            <w:r>
              <w:rPr>
                <w:color w:val="000000"/>
              </w:rPr>
              <w:t> </w:t>
            </w:r>
          </w:p>
        </w:tc>
        <w:tc>
          <w:tcPr>
            <w:tcW w:w="5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6.55 </w:t>
            </w:r>
          </w:p>
        </w:tc>
        <w:tc>
          <w:tcPr>
            <w:tcW w:w="5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Supplemental cash flow information related to leases was as follows: </w:t>
      </w:r>
    </w:p>
    <w:tbl>
      <w:tblPr>
        <w:tblW w:w="9687" w:type="dxa"/>
        <w:jc w:val="left"/>
        <w:tblInd w:w="0" w:type="dxa"/>
        <w:tblLayout w:type="fixed"/>
        <w:tblCellMar>
          <w:top w:w="28" w:type="dxa"/>
          <w:left w:w="28" w:type="dxa"/>
          <w:bottom w:w="28" w:type="dxa"/>
          <w:right w:w="28" w:type="dxa"/>
        </w:tblCellMar>
      </w:tblPr>
      <w:tblGrid>
        <w:gridCol w:w="2196"/>
        <w:gridCol w:w="1929"/>
        <w:gridCol w:w="1935"/>
        <w:gridCol w:w="211"/>
        <w:gridCol w:w="631"/>
        <w:gridCol w:w="109"/>
        <w:gridCol w:w="109"/>
        <w:gridCol w:w="109"/>
        <w:gridCol w:w="109"/>
        <w:gridCol w:w="211"/>
        <w:gridCol w:w="616"/>
        <w:gridCol w:w="109"/>
        <w:gridCol w:w="109"/>
        <w:gridCol w:w="109"/>
        <w:gridCol w:w="109"/>
        <w:gridCol w:w="211"/>
        <w:gridCol w:w="721"/>
        <w:gridCol w:w="154"/>
      </w:tblGrid>
      <w:tr>
        <w:trPr/>
        <w:tc>
          <w:tcPr>
            <w:tcW w:w="2196" w:type="dxa"/>
            <w:tcBorders/>
            <w:vAlign w:val="center"/>
          </w:tcPr>
          <w:p>
            <w:pPr>
              <w:pStyle w:val="TableContents"/>
              <w:bidi w:val="0"/>
              <w:spacing w:before="0" w:after="283"/>
              <w:jc w:val="left"/>
              <w:rPr>
                <w:sz w:val="4"/>
                <w:szCs w:val="4"/>
              </w:rPr>
            </w:pPr>
            <w:r>
              <w:rPr>
                <w:sz w:val="4"/>
                <w:szCs w:val="4"/>
              </w:rPr>
            </w:r>
          </w:p>
        </w:tc>
        <w:tc>
          <w:tcPr>
            <w:tcW w:w="1929" w:type="dxa"/>
            <w:tcBorders/>
            <w:vAlign w:val="center"/>
          </w:tcPr>
          <w:p>
            <w:pPr>
              <w:pStyle w:val="TableContents"/>
              <w:bidi w:val="0"/>
              <w:spacing w:before="0" w:after="283"/>
              <w:jc w:val="left"/>
              <w:rPr>
                <w:sz w:val="4"/>
                <w:szCs w:val="4"/>
              </w:rPr>
            </w:pPr>
            <w:r>
              <w:rPr>
                <w:sz w:val="4"/>
                <w:szCs w:val="4"/>
              </w:rPr>
            </w:r>
          </w:p>
        </w:tc>
        <w:tc>
          <w:tcPr>
            <w:tcW w:w="193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606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(thousands of U.S. dollars)</w:t>
            </w:r>
          </w:p>
        </w:tc>
        <w:tc>
          <w:tcPr>
            <w:tcW w:w="9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paid for amounts included in the measurement of lease liabilities:</w:t>
            </w:r>
          </w:p>
        </w:tc>
        <w:tc>
          <w:tcPr>
            <w:tcW w:w="9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cash flows for operating leases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7,917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Operating cash flows for finance leases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6,332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cash flows for finance leases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3,903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Supplemental non-cash information was as follows:</w:t>
      </w:r>
    </w:p>
    <w:tbl>
      <w:tblPr>
        <w:tblW w:w="8756" w:type="dxa"/>
        <w:jc w:val="left"/>
        <w:tblInd w:w="0" w:type="dxa"/>
        <w:tblLayout w:type="fixed"/>
        <w:tblCellMar>
          <w:top w:w="28" w:type="dxa"/>
          <w:left w:w="28" w:type="dxa"/>
          <w:bottom w:w="28" w:type="dxa"/>
          <w:right w:w="28" w:type="dxa"/>
        </w:tblCellMar>
      </w:tblPr>
      <w:tblGrid>
        <w:gridCol w:w="1821"/>
        <w:gridCol w:w="1599"/>
        <w:gridCol w:w="1604"/>
        <w:gridCol w:w="211"/>
        <w:gridCol w:w="736"/>
        <w:gridCol w:w="109"/>
        <w:gridCol w:w="109"/>
        <w:gridCol w:w="109"/>
        <w:gridCol w:w="109"/>
        <w:gridCol w:w="211"/>
        <w:gridCol w:w="721"/>
        <w:gridCol w:w="109"/>
        <w:gridCol w:w="109"/>
        <w:gridCol w:w="109"/>
        <w:gridCol w:w="109"/>
        <w:gridCol w:w="211"/>
        <w:gridCol w:w="616"/>
        <w:gridCol w:w="154"/>
      </w:tblGrid>
      <w:tr>
        <w:trPr/>
        <w:tc>
          <w:tcPr>
            <w:tcW w:w="1821" w:type="dxa"/>
            <w:tcBorders/>
            <w:vAlign w:val="center"/>
          </w:tcPr>
          <w:p>
            <w:pPr>
              <w:pStyle w:val="TableContents"/>
              <w:bidi w:val="0"/>
              <w:spacing w:before="0" w:after="283"/>
              <w:jc w:val="left"/>
              <w:rPr>
                <w:sz w:val="4"/>
                <w:szCs w:val="4"/>
              </w:rPr>
            </w:pPr>
            <w:r>
              <w:rPr>
                <w:sz w:val="4"/>
                <w:szCs w:val="4"/>
              </w:rPr>
            </w:r>
          </w:p>
        </w:tc>
        <w:tc>
          <w:tcPr>
            <w:tcW w:w="1599" w:type="dxa"/>
            <w:tcBorders/>
            <w:vAlign w:val="center"/>
          </w:tcPr>
          <w:p>
            <w:pPr>
              <w:pStyle w:val="TableContents"/>
              <w:bidi w:val="0"/>
              <w:spacing w:before="0" w:after="283"/>
              <w:jc w:val="left"/>
              <w:rPr>
                <w:sz w:val="4"/>
                <w:szCs w:val="4"/>
              </w:rPr>
            </w:pPr>
            <w:r>
              <w:rPr>
                <w:sz w:val="4"/>
                <w:szCs w:val="4"/>
              </w:rPr>
            </w:r>
          </w:p>
        </w:tc>
        <w:tc>
          <w:tcPr>
            <w:tcW w:w="16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502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(thousands of U.S. dollars)</w:t>
            </w:r>
          </w:p>
        </w:tc>
        <w:tc>
          <w:tcPr>
            <w:tcW w:w="10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Lease liabilities arising from obtaining right-of-use assets:</w:t>
            </w:r>
          </w:p>
        </w:tc>
        <w:tc>
          <w:tcPr>
            <w:tcW w:w="10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10,822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431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Maturities of lease liabilities as of December 31, 2025 are as follows: </w:t>
      </w:r>
    </w:p>
    <w:tbl>
      <w:tblPr>
        <w:tblW w:w="5967" w:type="dxa"/>
        <w:jc w:val="left"/>
        <w:tblInd w:w="0" w:type="dxa"/>
        <w:tblLayout w:type="fixed"/>
        <w:tblCellMar>
          <w:top w:w="28" w:type="dxa"/>
          <w:left w:w="28" w:type="dxa"/>
          <w:bottom w:w="28" w:type="dxa"/>
          <w:right w:w="28" w:type="dxa"/>
        </w:tblCellMar>
      </w:tblPr>
      <w:tblGrid>
        <w:gridCol w:w="723"/>
        <w:gridCol w:w="635"/>
        <w:gridCol w:w="637"/>
        <w:gridCol w:w="211"/>
        <w:gridCol w:w="736"/>
        <w:gridCol w:w="109"/>
        <w:gridCol w:w="109"/>
        <w:gridCol w:w="109"/>
        <w:gridCol w:w="109"/>
        <w:gridCol w:w="211"/>
        <w:gridCol w:w="736"/>
        <w:gridCol w:w="109"/>
        <w:gridCol w:w="109"/>
        <w:gridCol w:w="109"/>
        <w:gridCol w:w="109"/>
        <w:gridCol w:w="211"/>
        <w:gridCol w:w="841"/>
        <w:gridCol w:w="154"/>
      </w:tblGrid>
      <w:tr>
        <w:trPr/>
        <w:tc>
          <w:tcPr>
            <w:tcW w:w="723"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(thousands of U.S. dollars)</w:t>
            </w:r>
          </w:p>
        </w:tc>
        <w:tc>
          <w:tcPr>
            <w:tcW w:w="105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Operating</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Leases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Finance</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Leases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Total </w:t>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8,134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9,689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17,823</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7,187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9,968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17,155</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5,760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10,263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16,023</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4,717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9,933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14,650</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3,767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9,634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13,401</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2031 and Thereafter</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22,069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108,811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130,880</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payments</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51,634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158,298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209,932</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imputed interest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(15,978)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(60,998)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(76,976)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35,656</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97,300</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132,956</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360"/>
        <w:jc w:val="left"/>
        <w:rPr>
          <w:rFonts w:ascii="Times New Roman;serif" w:hAnsi="Times New Roman;serif"/>
          <w:b/>
          <w:color w:val="000000"/>
          <w:sz w:val="20"/>
        </w:rPr>
      </w:pPr>
      <w:r>
        <w:rPr>
          <w:rFonts w:ascii="Times New Roman;serif" w:hAnsi="Times New Roman;serif"/>
          <w:b/>
          <w:color w:val="000000"/>
          <w:sz w:val="20"/>
        </w:rPr>
        <w:t xml:space="preserve">18.Asset Retirement Obligations (“ARO”)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Our ARO represent the present value of future remediation costs. The associated asset retirement costs are also capitalized as part of the carrying amounts of the related long-lived assets in property, plant and equipment in the Consolidated Balance Sheets. The capitalized future site remediation costs are depreciated and the ARO are accreted over the life of the related assets. These amounts are included in depreciation and amortization expense, respectively, within cost of revenues in the Consolidated Statements of Operations and Comprehensive Income (Loss).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100" name="Frame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98</w:t>
                      </w:r>
                    </w:p>
                  </w:txbxContent>
                </v:textbox>
                <w10:wrap type="none"/>
              </v:rect>
            </w:pict>
          </mc:Fallback>
        </mc:AlternateContent>
      </w:r>
    </w:p>
    <w:p>
      <w:pPr>
        <w:pStyle w:val="TextBody"/>
        <w:bidi w:val="0"/>
        <w:spacing w:lineRule="auto" w:line="288" w:before="0" w:after="0"/>
        <w:jc w:val="left"/>
        <w:rPr/>
      </w:pPr>
      <w:hyperlink w:anchor="i27c953b2e3004595bc062f37867a09bd_7">
        <w:r>
          <w:rPr>
            <w:rStyle w:val="InternetLink"/>
            <w:rFonts w:ascii="Times New Roman;serif" w:hAnsi="Times New Roman;serif"/>
            <w:b w:val="false"/>
            <w:color w:val="0000FF"/>
            <w:sz w:val="20"/>
            <w:u w:val="single"/>
          </w:rPr>
          <w:t>Table of Contents</w:t>
        </w:r>
      </w:hyperlink>
    </w:p>
    <w:p>
      <w:pPr>
        <w:pStyle w:val="TextBody"/>
        <w:bidi w:val="0"/>
        <w:spacing w:lineRule="auto" w:line="288" w:before="40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Sotera Health Company </w:t>
      </w:r>
    </w:p>
    <w:p>
      <w:pPr>
        <w:pStyle w:val="TextBody"/>
        <w:bidi w:val="0"/>
        <w:spacing w:lineRule="auto" w:line="288" w:before="60" w:after="240"/>
        <w:jc w:val="center"/>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fair value of the ARO is determined based on estimates requiring management judgment. Key assumptions include the timing and estimated decommissioning costs of the remediation activities and credit adjusted risk free interest rates. Changes in the assumptions based on future information may result in adjustments to the estimated obligations over time. No market risk premium has been included in the calculation for the ARO since no reliable estimate can be made by the Company. Any difference between costs incurred upon settlement of an ARO and the liability recognized for the estimated cost of asset retirements will be recognized as a gain or loss in our current period operating results.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Each year, we review decommissioning costs and consider changes in marketplace rates. The following table describes changes to our ARO liability during the years presented: </w:t>
      </w:r>
    </w:p>
    <w:tbl>
      <w:tblPr>
        <w:tblW w:w="5619" w:type="dxa"/>
        <w:jc w:val="left"/>
        <w:tblInd w:w="0" w:type="dxa"/>
        <w:tblLayout w:type="fixed"/>
        <w:tblCellMar>
          <w:top w:w="28" w:type="dxa"/>
          <w:left w:w="28" w:type="dxa"/>
          <w:bottom w:w="28" w:type="dxa"/>
          <w:right w:w="28" w:type="dxa"/>
        </w:tblCellMar>
      </w:tblPr>
      <w:tblGrid>
        <w:gridCol w:w="1136"/>
        <w:gridCol w:w="998"/>
        <w:gridCol w:w="1001"/>
        <w:gridCol w:w="211"/>
        <w:gridCol w:w="736"/>
        <w:gridCol w:w="109"/>
        <w:gridCol w:w="109"/>
        <w:gridCol w:w="109"/>
        <w:gridCol w:w="109"/>
        <w:gridCol w:w="211"/>
        <w:gridCol w:w="736"/>
        <w:gridCol w:w="154"/>
      </w:tblGrid>
      <w:tr>
        <w:trPr/>
        <w:tc>
          <w:tcPr>
            <w:tcW w:w="1136"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(thousands of U.S. dollars)</w:t>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13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6"/>
                <w:u w:val="single"/>
              </w:rPr>
            </w:pPr>
            <w:r>
              <w:rPr>
                <w:rFonts w:ascii="Times New Roman;serif" w:hAnsi="Times New Roman;serif"/>
                <w:b/>
                <w:color w:val="000000"/>
                <w:sz w:val="16"/>
                <w:u w:val="single"/>
              </w:rPr>
              <w:t>For the years ended December 31,</w:t>
            </w:r>
          </w:p>
        </w:tc>
        <w:tc>
          <w:tcPr>
            <w:tcW w:w="10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ARO – beginning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49,319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47,944 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estimates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Accretion expense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2,321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exchange and other</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1,665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color w:val="000000"/>
                <w:sz w:val="20"/>
              </w:rPr>
            </w:pPr>
            <w:r>
              <w:rPr>
                <w:rFonts w:ascii="Times New Roman;serif" w:hAnsi="Times New Roman;serif"/>
                <w:b/>
                <w:color w:val="000000"/>
                <w:sz w:val="20"/>
              </w:rPr>
              <w:t>ARO – end of period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53,496</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49,319</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recorded depreciation expense on the ARO of $0.6 million, $0.4 million and $0.4 million, for the years ended December 31, 2025, 2024, and 2023 respectively.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are obligated to provide financial assurance to local and state licensing authorities for possible future decommissioning costs associated with the various facilities that hold Co-60. At December 31, 2025 and 2024, $50.3 million and $49.1 million, respectively, of the standby letters of credit referenced above and surety bonds were outstanding in favor of the various local and state licensing authorities in the event we defaulted on our decommissioning obligation.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360"/>
        <w:jc w:val="left"/>
        <w:rPr/>
      </w:pPr>
      <w:r>
        <w:rPr>
          <w:rFonts w:ascii="Times New Roman;serif" w:hAnsi="Times New Roman;serif"/>
          <w:b/>
          <w:color w:val="000000"/>
          <w:sz w:val="20"/>
        </w:rPr>
        <w:t>19.Commitments and Continge</w:t>
      </w:r>
      <w:r>
        <w:rPr>
          <w:rFonts w:ascii="Times New Roman;serif" w:hAnsi="Times New Roman;serif"/>
          <w:b/>
          <w:color w:val="000000"/>
          <w:sz w:val="20"/>
          <w:shd w:fill="FFFFFF" w:val="clear"/>
        </w:rPr>
        <w:t>ncies</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depend on a limited number of suppliers and our agreements with these suppliers account for material portions of our</w:t>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supply and direct material costs. These costs include obligations under various supply agreements in our Nordion segment for</w:t>
      </w:r>
    </w:p>
    <w:p>
      <w:pPr>
        <w:pStyle w:val="TextBody"/>
        <w:bidi w:val="0"/>
        <w:spacing w:lineRule="auto" w:line="288" w:before="0" w:after="0"/>
        <w:jc w:val="left"/>
        <w:rPr/>
      </w:pPr>
      <w:r>
        <w:rPr>
          <w:rFonts w:ascii="Times New Roman;serif" w:hAnsi="Times New Roman;serif"/>
          <w:b w:val="false"/>
          <w:color w:val="000000"/>
          <w:sz w:val="20"/>
          <w:shd w:fill="FFFFFF" w:val="clear"/>
        </w:rPr>
        <w:t xml:space="preserve">Co-60 that are enforceable and legally binding on us. As of </w:t>
      </w:r>
      <w:r>
        <w:rPr>
          <w:rFonts w:ascii="Times New Roman;serif" w:hAnsi="Times New Roman;serif"/>
          <w:b w:val="false"/>
          <w:color w:val="000000"/>
          <w:sz w:val="20"/>
        </w:rPr>
        <w:t>December 31, 2025</w:t>
      </w:r>
      <w:r>
        <w:rPr>
          <w:rFonts w:ascii="Times New Roman;serif" w:hAnsi="Times New Roman;serif"/>
          <w:b w:val="false"/>
          <w:color w:val="000000"/>
          <w:sz w:val="20"/>
          <w:shd w:fill="FFFFFF" w:val="clear"/>
        </w:rPr>
        <w:t>, we had minimum purchase commitments</w:t>
      </w:r>
    </w:p>
    <w:p>
      <w:pPr>
        <w:pStyle w:val="TextBody"/>
        <w:bidi w:val="0"/>
        <w:spacing w:lineRule="auto" w:line="288" w:before="0" w:after="0"/>
        <w:jc w:val="left"/>
        <w:rPr/>
      </w:pPr>
      <w:r>
        <w:rPr>
          <w:rFonts w:ascii="Times New Roman;serif" w:hAnsi="Times New Roman;serif"/>
          <w:b w:val="false"/>
          <w:color w:val="000000"/>
          <w:sz w:val="20"/>
          <w:shd w:fill="FFFFFF" w:val="clear"/>
        </w:rPr>
        <w:t xml:space="preserve">primarily with domestic and international suppliers of raw materials for the Nordion business totaling </w:t>
      </w:r>
      <w:r>
        <w:rPr>
          <w:rFonts w:ascii="Times New Roman;serif" w:hAnsi="Times New Roman;serif"/>
          <w:b w:val="false"/>
          <w:color w:val="000000"/>
          <w:sz w:val="20"/>
        </w:rPr>
        <w:t>$2,379.5 million, $53.1 million to $72.9 million in each of the next five years</w:t>
      </w:r>
      <w:r>
        <w:rPr>
          <w:rFonts w:ascii="Times New Roman;serif" w:hAnsi="Times New Roman;serif"/>
          <w:b w:val="false"/>
          <w:color w:val="000000"/>
          <w:sz w:val="20"/>
          <w:shd w:fill="FFFFFF" w:val="clear"/>
        </w:rPr>
        <w:t>. The terms of these long-term supply or service arrangements range from 1 to 39 years. In addition, our Sterigenics segment has obligations to purchase ethylene oxide (“EO”). Our contract to purchase EO in the U.S. requires us to purchase all of our requirements from one supplier, and our contracts to purchase EO outside the U.S. generally require that we purchase a specified percentage of our requirements for our operations in the countries covered by those contracts. We expect to utilize the Co-60 and EO encompassed by these agreements in the normal course of our business and therefore our commitments under these agreements are not recognized on the consolidated balance sheets as a liability.</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From time to time, we may be or are subject to various lawsuits and other claims, as well as gain contingencies, in the ordinary course of our business. In addition, from time to time, we receive communications from government or regulatory agencies concerning investigations or allegations of noncompliance with laws or regulations in jurisdictions in which we operate. We assess these regulatory and legal actions to determine if a contingent liability should be recorded. In making these determinations, we may, depending on the nature of the matter, consult with internal and external legal counsel and technical experts.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establish reserves for specific liabilities in connection with regulatory and legal actions that we determine to be both probable and reasonably estimable. The outcomes of regulatory and legal actions can be difficult to predict and are often resolved over long periods of time, making our probability and estimability determinations highly judgmental. Probability determinations require the analysis of various possible outcomes, assessments of potential damages and the impact of multiple factors beyond our control, including potential actions by others, interpretations of the law, and changes and developments in relevant facts, circumstances, regulations and other laws. If a potentially material loss contingency is not probable, but is reasonably possible, or is probable but cannot be estimated, then the nature of the contingent liability is disclosed, together with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101" name="Frame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99</w:t>
                      </w:r>
                    </w:p>
                  </w:txbxContent>
                </v:textbox>
                <w10:wrap type="none"/>
              </v:rect>
            </w:pict>
          </mc:Fallback>
        </mc:AlternateContent>
      </w:r>
    </w:p>
    <w:p>
      <w:pPr>
        <w:pStyle w:val="TextBody"/>
        <w:bidi w:val="0"/>
        <w:spacing w:lineRule="auto" w:line="288" w:before="0" w:after="0"/>
        <w:jc w:val="left"/>
        <w:rPr/>
      </w:pPr>
      <w:hyperlink w:anchor="i27c953b2e3004595bc062f37867a09bd_7">
        <w:r>
          <w:rPr>
            <w:rStyle w:val="InternetLink"/>
            <w:rFonts w:ascii="Times New Roman;serif" w:hAnsi="Times New Roman;serif"/>
            <w:b w:val="false"/>
            <w:color w:val="0000FF"/>
            <w:sz w:val="20"/>
            <w:u w:val="single"/>
          </w:rPr>
          <w:t>Table of Contents</w:t>
        </w:r>
      </w:hyperlink>
    </w:p>
    <w:p>
      <w:pPr>
        <w:pStyle w:val="TextBody"/>
        <w:bidi w:val="0"/>
        <w:spacing w:lineRule="auto" w:line="288" w:before="40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Sotera Health Company </w:t>
      </w:r>
    </w:p>
    <w:p>
      <w:pPr>
        <w:pStyle w:val="TextBody"/>
        <w:bidi w:val="0"/>
        <w:spacing w:lineRule="auto" w:line="288" w:before="60" w:after="240"/>
        <w:jc w:val="center"/>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an estimate of the range of possible loss if the range is determinable and material. In certain of the matters described below, we are not able to estimate potential liability because of the uncertainties related to the outcome(s) and/or the amount(s) or range(s) of loss. The ultimate resolution of pending regulatory and legal matters in future periods, including the matters described below, may have a material adverse effect on our financial condition, results of operations and/or liquidity. The Company may also incur material defense and settlement costs, diversion of management resources and other adverse effects on our business, financial condition, and/or results of operations.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information regarding those lawsuits set forth below, including the number of claims, is as of December 31, 2025, except as otherwise indicated.</w:t>
      </w:r>
    </w:p>
    <w:p>
      <w:pPr>
        <w:pStyle w:val="TextBody"/>
        <w:bidi w:val="0"/>
        <w:spacing w:lineRule="auto" w:line="288" w:before="20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Ethylene Oxide Tort Litigation</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Sterigenics U.S., LLC (“Sterigenics”) and other medical supply sterilization companies have been subjected to tort lawsuits alleging various injuries caused by low-level environmental exposure to EO used at or emitted or released from sterilization facilities. Those lawsuits, as detailed further below, are individual claims, as opposed to class actions.</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California</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As of February 20, 2026, subsidiaries of the Company and other parties are defendants in Los Angeles County Superior Court in which the plaintiffs assert approximately 120 claims for personal injury or wrongful death allegedly resulting from use, emissions and releases of EO from Sterigenics’ Vernon facilities (the “Vernon Cases”). The Vernon Cases have been assigned to one judge, with initial trials scheduled for January and April 2027. Eight individual claims have been selected as the “First Plaintiff Group” and are being prioritized for discovery.</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Georgia</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Subsidiaries of the Company and other parties are defendants in lawsuits in Georgia in which plaintiffs allege personal injuries, wrongful death and property devaluation resulting from use, emissions and releases of EO from or at Sterigenics’ Atlanta facility.</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As of February 20, 2026, approximately 450 personal injury and wrongful death claims pending in the State Court of Cobb County (the “Georgia Trial Court”) are assigned to a single judge (the “Georgia Personal Injury Cases”). The Georgia Personal Injury Cases are governed by case management orders pursuant to which general causation issues in a pool of eight cases are to be adjudicated in Phase 1 and specific causation issues in those pool cases are to be adjudicated in Phase 2; the remaining Georgia Personal Injury Cases, including 15 cases that include both personal injury and property claims and one personal injury lawsuit that is pending before a different judge, are stayed.</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On November 22, 2024, the Georgia Trial Court issued a Phase 1 ruling on general causation issues granting in part and denying in part defendants’ motions to exclude certain Phase 1 expert testimony and defendants’ motions for summary judgment on Phase 1 issues (the “General Causation Ruling”). Plaintiffs and defendants appealed the General Causation Ruling to the Court of Appeals of Georgia (the “Phase 1 General Causation Appeals”).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While the Phase 1 General Causation Appeals were pending, three of the pool cases selected by plaintiffs’ counsel proceeded to Phase 2 (the “Phase 2 Cases”). On October 17, 2025, the Georgia Trial Court issued its Phase 2 rulings on specific causation issues granting Sterigenics’ motions to exclude three of plaintiffs’ specific causation expert witnesses and granting Sterigenics’ motions for summary judgment in all three Phase 2 Cases (“the “Specific Causation Ruling”). On October 28, 2025, the Georgia Trial Court entered an order also adopting its Specific Causation Ruling with respect to our subsidiary Sotera Health LLC. Plaintiffs in the Phase 2 Cases appealed the Specific Causation Ruling to the Court of Appeals of Georgia (the “Phase 2 Specific Causation Appeals”).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On October 31, 2025, the Court of Appeals of Georgia ruled on the Phase 1 General Causation Appeals, finding that, as Sterigenics contended on appeal, the General Causation Ruling failed to apply the proper standard for determining the admissibility of expert testimony on general causation, vacating the General Causation Ruling and remanding the pool cases to the Georgia Trial Court with instructions to apply the proper standard in ruling on general causation issues. The Court of Appeals also instructed the Georgia Trial Court to consider whether plaintiffs can prove general causation through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102" name="Frame1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100</w:t>
                      </w:r>
                    </w:p>
                  </w:txbxContent>
                </v:textbox>
                <w10:wrap type="none"/>
              </v:rect>
            </w:pict>
          </mc:Fallback>
        </mc:AlternateContent>
      </w:r>
    </w:p>
    <w:p>
      <w:pPr>
        <w:pStyle w:val="TextBody"/>
        <w:bidi w:val="0"/>
        <w:spacing w:lineRule="auto" w:line="288" w:before="0" w:after="0"/>
        <w:jc w:val="left"/>
        <w:rPr/>
      </w:pPr>
      <w:hyperlink w:anchor="i27c953b2e3004595bc062f37867a09bd_7">
        <w:r>
          <w:rPr>
            <w:rStyle w:val="InternetLink"/>
            <w:rFonts w:ascii="Times New Roman;serif" w:hAnsi="Times New Roman;serif"/>
            <w:b w:val="false"/>
            <w:color w:val="0000FF"/>
            <w:sz w:val="20"/>
            <w:u w:val="single"/>
          </w:rPr>
          <w:t>Table of Contents</w:t>
        </w:r>
      </w:hyperlink>
    </w:p>
    <w:p>
      <w:pPr>
        <w:pStyle w:val="TextBody"/>
        <w:bidi w:val="0"/>
        <w:spacing w:lineRule="auto" w:line="288" w:before="40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Sotera Health Company </w:t>
      </w:r>
    </w:p>
    <w:p>
      <w:pPr>
        <w:pStyle w:val="TextBody"/>
        <w:bidi w:val="0"/>
        <w:spacing w:lineRule="auto" w:line="288" w:before="60" w:after="240"/>
        <w:jc w:val="center"/>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epidemiological evidence and background risks of the diseases at issue. The Georgia Trial Court is conducting further Phase 1 proceedings in the five remanded pool cases that are not involved in the Phase 2 Specific Causation Appeals.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Subsidiaries of the Company and other parties are also defendants in a lawsuit filed in May 2020 in which employees of a sterilization customer of Sterigenics allege they were injured while working at the customer’s distribution facility by exposure to residual EO allegedly emanating from products of the customer that had been sterilized by Sterigenics. The case has been transferred from the Georgia Trial Court to the Superior Court of Cobb County and is proceeding on plaintiffs’ Fifth Amended Complaint. Pursuant to the customer’s contract with Sterigenics, the customer is indemnifying Sterigenics against this lawsuit.</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As of February 20, 2026, approximately 305 lawsuits have been filed in the Georgia Trial Court against subsidiaries of the Company and other parties in which plaintiffs allege property devaluation resulting from use, emissions and releases of EO from or at Sterigenics’ Atlanta facility. These cases have been consolidated for pretrial purposes (the “Consolidated Property Cases”). Proceedings in a pool of nine of the Consolidated Property Cases are governed by case management orders pursuant to which the parties completed discovery and defendants filed motions to exclude certain plaintiffs’ expert testimony and motions for summary judgment, which remain pending. The remaining cases are stayed.</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Illinois</w:t>
      </w:r>
    </w:p>
    <w:p>
      <w:pPr>
        <w:pStyle w:val="TextBody"/>
        <w:bidi w:val="0"/>
        <w:spacing w:lineRule="auto" w:line="288" w:before="200" w:after="283"/>
        <w:jc w:val="left"/>
        <w:rPr/>
      </w:pPr>
      <w:r>
        <w:rPr>
          <w:rFonts w:ascii="Times New Roman;serif" w:hAnsi="Times New Roman;serif"/>
          <w:b w:val="false"/>
          <w:color w:val="000000"/>
          <w:sz w:val="20"/>
        </w:rPr>
        <w:t>Lawsuits against subsidiaries of the Company and other parties have been filed in the Circuit Court of Cook County, Illinois, by plaintiffs alleging personal injury or wrongful death resulting from use, emissions and releases of EO from Sterigenics’ former Willowbrook facility (the “Willowbrook Cases”). As of February 20, 2026, subsidiaries of the Company and other parties are defendan</w:t>
      </w:r>
      <w:r>
        <w:rPr>
          <w:rFonts w:ascii="Times New Roman;serif" w:hAnsi="Times New Roman;serif"/>
          <w:b w:val="false"/>
          <w:color w:val="000000"/>
          <w:sz w:val="20"/>
          <w:shd w:fill="FFFFFF" w:val="clear"/>
        </w:rPr>
        <w:t>ts in one W</w:t>
      </w:r>
      <w:r>
        <w:rPr>
          <w:rFonts w:ascii="Times New Roman;serif" w:hAnsi="Times New Roman;serif"/>
          <w:b w:val="false"/>
          <w:color w:val="000000"/>
          <w:sz w:val="20"/>
        </w:rPr>
        <w:t>illowbrook Case in which two plaintiffs are asserting claims for personal injuries.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April 2025, Sterigenics entered into a binding term sheet to pay $30.9 million to resolve 97 claims, including claimants with pending lawsuits and claimants who asserted claims but had yet to file lawsuits. The settlement was finalized in September 2025.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In July 2025, Sterigenics entered into a binding term sheet to pay $34.0 million to resolve 129 additional claims, including claimants with pending lawsuits and claimants who asserted claims but had yet to file. The settlement was finalized in February 2026.</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New Mexico</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Company and certain subsidiaries are defendants in a lawsuit filed in the Third Judicial District Court, Doña Ana County, New Mexico (the “Trial Court”) in which the New Mexico Attorney General (“NMAG”) alleges that use, emissions and releases of EO from Sterigenics’ facility in Santa Teresa have deteriorated the air quality in surrounding communities and materially contributed to increased health risks for residents of those communities and seeks declaratory and permanent injunctive relief and damages. In April 2024, the Court of Appeals of the State of New Mexico denied the NMAG’s petition for leave to file an interlocutory appeal of the Trial Court’s August 2023 order granting Sterigenics’ motion for summary judgment on strict liability, the Unfair Practices Act claim, and the claims for decreased property values, increased healthcare costs and medical monitoring costs, and remanded the case to the District Court of Doña Ana County for further proceedings on the remaining claims. In January 2026, the Trial Court denied NMAG’s May 2025 motion to modify the Trial Court’s August 2023 summary judgment order to reinstate the NMAG’s claim for recovery of healthcare cost damages. The case is set for trial in July 2026.</w:t>
      </w:r>
    </w:p>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 *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Additional EO lawsuits have been threatened relating to Sterigenics’ current and former EO sterilization facilities in the United States and may be filed in the future. These threats of additional EO lawsuits are comparable to threats that have similarly been made against other companies within our industry. Based on our view of the strength of the science and related evidence that emissions of EO from Sterigenics’ operations have not caused and could not have caused the harms alleged in such lawsuits, we believe that losses in the remaining or future EO cases through trials and any appeals that may prove necessary are not probable. Although the Company is vigorously defending against the EO tort claims, future settlements of EO tort claims are reasonably possible. The previously disclosed settlements of certain cases related to our facilities in Willowbrook and Atlanta were driven by dynamics unique to the claims that were settled and thus should not give rise to presumptions that the Company will settle additional EO tort claims and/or that any such settlements will be for comparable amounts.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103" name="Frame10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101</w:t>
                      </w:r>
                    </w:p>
                  </w:txbxContent>
                </v:textbox>
                <w10:wrap type="none"/>
              </v:rect>
            </w:pict>
          </mc:Fallback>
        </mc:AlternateContent>
      </w:r>
    </w:p>
    <w:p>
      <w:pPr>
        <w:pStyle w:val="TextBody"/>
        <w:bidi w:val="0"/>
        <w:spacing w:lineRule="auto" w:line="288" w:before="0" w:after="0"/>
        <w:jc w:val="left"/>
        <w:rPr/>
      </w:pPr>
      <w:hyperlink w:anchor="i27c953b2e3004595bc062f37867a09bd_7">
        <w:r>
          <w:rPr>
            <w:rStyle w:val="InternetLink"/>
            <w:rFonts w:ascii="Times New Roman;serif" w:hAnsi="Times New Roman;serif"/>
            <w:b w:val="false"/>
            <w:color w:val="0000FF"/>
            <w:sz w:val="20"/>
            <w:u w:val="single"/>
          </w:rPr>
          <w:t>Table of Contents</w:t>
        </w:r>
      </w:hyperlink>
    </w:p>
    <w:p>
      <w:pPr>
        <w:pStyle w:val="TextBody"/>
        <w:bidi w:val="0"/>
        <w:spacing w:lineRule="auto" w:line="288" w:before="40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Sotera Health Company </w:t>
      </w:r>
    </w:p>
    <w:p>
      <w:pPr>
        <w:pStyle w:val="TextBody"/>
        <w:bidi w:val="0"/>
        <w:spacing w:lineRule="auto" w:line="288" w:before="60" w:after="240"/>
        <w:jc w:val="center"/>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Potential trial and settlement outcomes can vary widely based on a host of factors. EO tort lawsuits will be presided over by different judges, tried by different counsel presenting different evidence and decided by different juries. The substantive and procedural laws of jurisdictions vary and can meaningfully impact the litigation process and outcome of a case. Each plaintiff’s claim involves unique facts and evidence, including the circumstances of the plaintiff’s alleged exposure, the type and severity of the plaintiff’s disease, the plaintiff’s medical history and course of treatment, the location of and other factors related to the plaintiff’s real property, and other circumstances. The outcomes of trials before juries are rarely certain and a judgment rendered or settlement reached in one case is not necessarily representative of potential outcomes of other seemingly comparable cases. As a result, it is not possible to estimate a reasonably possible loss or range of loss with respect to any future EO tort lawsuit, trial or settlement. We are vigorously defending the EO tort lawsuits.</w:t>
      </w:r>
    </w:p>
    <w:p>
      <w:pPr>
        <w:pStyle w:val="TextBody"/>
        <w:bidi w:val="0"/>
        <w:spacing w:lineRule="auto" w:line="288" w:before="20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Insurance Coverage for Environmental Liabilities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An environmental liability insurance policy under which we have received coverage for the EO tort lawsuits in Georgia, Illinois and New Mexico described above had limits of $10.0 million per occurrence and $20.0 million in the aggregate. Those per occurrence and aggregate limits were fully utilized in the defense of the Georgia, Illinois and New Mexico litigation. Our insurance for future alleged environmental liabilities excludes coverage for EO claims.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We are pursuing additional insurance coverage for our legal expenses related to EO tort lawsuits. On August 27, 2021, Sterigenics filed an insurance coverage lawsuit in the U.S. District Court for the Northern District of Illinois (the “Illinois District Court”) relating to two commercial general liability policies issued in the 1980s (the “Northern District of Illinois Coverage Lawsuit”). The Illinois District Court issued an order declaring that the defendant insurer owes a duty to Sterigenics and another insured party to defend the Willowbrook Cases (the “Duty to Defend Order”) and entered judgment for Sterigenics in January 2024 in the amount of $110.2 million for certain defense costs incurred in the Willowbrook Cases as of August 2022 (the “Defense Costs Judgment”). The defendant insurer appealed the Duty to Defend Order and Defense Costs Judgment to the United States Court of Appeals for the Seventh Circuit. On January 23, 2026 the Illinois Supreme Court issued an opinion answering a question of Illinois law certified to it by the Seventh Circuit Court of Appeals, holding that a permit or regulation authorizing emissions plays no role in assessing the application of a pollution exclusion in a standard form commercial general liability policy. The Seventh Circuit Court of Appeals is conducting further proceedings in light of the Illinois Supreme Court’s opinion.</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Sterigenics is also a party in insurance coverage lawsuits instituted on March 27, 2023 in the Delaware Superior Court, on February 3, 2025 in the Los Angeles County Superior Court and, in January 2023, in the Circuit Court of Cook County, Illinois (after being granted leave to intervene on May 6, 2024), relating to insurance coverage from various historical commercial general liability policies for certain EO litigation settlement amounts and defense costs that the defendant insurer in the Northern District of Illinois Coverage Lawsuit may fail to fund. The Delaware Superior Court case has been stayed pending resolution of the coverage lawsuit in the Circuit Court of Cook County. The coverage lawsuits in the Circuit Court of Cook County lawsuit and the Los Angeles County Superior Court have been stayed pending resolution of the question certified to the Illinois Supreme Court. It is not possible to predict how much, if any, of the insurance proceeds sought will ultimately be recovered.</w:t>
      </w:r>
    </w:p>
    <w:p>
      <w:pPr>
        <w:pStyle w:val="TextBody"/>
        <w:bidi w:val="0"/>
        <w:spacing w:lineRule="auto" w:line="288" w:before="20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Sotera Health Company Securities Litigation and Related Matters</w:t>
      </w:r>
    </w:p>
    <w:p>
      <w:pPr>
        <w:pStyle w:val="TextBody"/>
        <w:bidi w:val="0"/>
        <w:spacing w:lineRule="auto" w:line="288" w:before="200" w:after="283"/>
        <w:jc w:val="left"/>
        <w:rPr/>
      </w:pPr>
      <w:r>
        <w:rPr>
          <w:rFonts w:ascii="Times New Roman;serif" w:hAnsi="Times New Roman;serif"/>
          <w:b w:val="false"/>
          <w:color w:val="000000"/>
          <w:sz w:val="20"/>
          <w:shd w:fill="FFFFFF" w:val="clear"/>
        </w:rPr>
        <w:t>In</w:t>
      </w:r>
      <w:r>
        <w:rPr>
          <w:color w:val="000000"/>
        </w:rPr>
        <w:t xml:space="preserve"> </w:t>
      </w:r>
      <w:r>
        <w:rPr>
          <w:rFonts w:ascii="Times New Roman;serif" w:hAnsi="Times New Roman;serif"/>
          <w:b w:val="false"/>
          <w:color w:val="000000"/>
          <w:sz w:val="20"/>
        </w:rPr>
        <w:t>January 2023, a stockholder class action was filed in the U.S. District Court for the Northern District of Ohio (the “Ohio District Court”) against the Company, certain past and present directors and senior executives, the Company’s private equity stockholde</w:t>
      </w:r>
      <w:r>
        <w:rPr>
          <w:rFonts w:ascii="Times New Roman;serif" w:hAnsi="Times New Roman;serif"/>
          <w:b w:val="false"/>
          <w:color w:val="000000"/>
          <w:sz w:val="20"/>
          <w:shd w:fill="FFFFFF" w:val="clear"/>
        </w:rPr>
        <w:t xml:space="preserve">rs and the underwriters of the Company’s IPO in November 2020 and the Company’s secondary public offering (“SPO”) in March 2021 (the “Michigan Funds Litigation”). In April 2023, the </w:t>
      </w:r>
      <w:r>
        <w:rPr>
          <w:rFonts w:ascii="Times New Roman;serif" w:hAnsi="Times New Roman;serif"/>
          <w:b w:val="false"/>
          <w:color w:val="000000"/>
          <w:sz w:val="20"/>
        </w:rPr>
        <w:t>Ohio District Court</w:t>
      </w:r>
      <w:r>
        <w:rPr>
          <w:color w:val="000000"/>
          <w:shd w:fill="FFFFFF" w:val="clear"/>
        </w:rPr>
        <w:t xml:space="preserve"> </w:t>
      </w:r>
      <w:r>
        <w:rPr>
          <w:rFonts w:ascii="Times New Roman;serif" w:hAnsi="Times New Roman;serif"/>
          <w:b w:val="false"/>
          <w:color w:val="000000"/>
          <w:sz w:val="20"/>
          <w:shd w:fill="FFFFFF" w:val="clear"/>
        </w:rPr>
        <w:t>appointed the Oakland County Employees’ Retirement System, Oakland County Voluntary Employees’ Beneficiary Association, and Wayne County Employees’ Retirement System (the “Michigan Funds”) to serve as lead plaintiff to prosecute claims on behalf of a proposed class of stockholders who acquired shares of the Company in connection with our IPO or SPO between November 20, 2020 and September 19, 2022 (the “Proposed Class”). The Michigan Funds allege that certain statements made regarding the safety of the Company’s use of EO and/or the EO tort lawsuits and other risks of its EO operations violated Sections 11, 12(a)(2) and 15 of the Securities Act of 1933 (when made in the registration statements for the IPO and SPO) and S</w:t>
      </w:r>
      <w:r>
        <w:rPr>
          <w:rFonts w:ascii="Times New Roman;serif" w:hAnsi="Times New Roman;serif"/>
          <w:b w:val="false"/>
          <w:color w:val="000000"/>
          <w:sz w:val="20"/>
        </w:rPr>
        <w:t xml:space="preserve">ections 10(b), Section 20(a) and Rule 10b-5 of the Exchange Act (when made in subsequent securities filings and other contexts) and seek compensatory, rescissory or statutory damages. On March 19, 2025, the Ohio District Court issued a Memorandum Opinion and Order granting the Company’s motion to dismiss the Amended Complaint and entered judgment dismissing the Michigan Funds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104" name="Frame10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102</w:t>
                      </w:r>
                    </w:p>
                  </w:txbxContent>
                </v:textbox>
                <w10:wrap type="none"/>
              </v:rect>
            </w:pict>
          </mc:Fallback>
        </mc:AlternateContent>
      </w:r>
    </w:p>
    <w:p>
      <w:pPr>
        <w:pStyle w:val="TextBody"/>
        <w:bidi w:val="0"/>
        <w:spacing w:lineRule="auto" w:line="288" w:before="0" w:after="0"/>
        <w:jc w:val="left"/>
        <w:rPr/>
      </w:pPr>
      <w:hyperlink w:anchor="i27c953b2e3004595bc062f37867a09bd_7">
        <w:r>
          <w:rPr>
            <w:rStyle w:val="InternetLink"/>
            <w:rFonts w:ascii="Times New Roman;serif" w:hAnsi="Times New Roman;serif"/>
            <w:b w:val="false"/>
            <w:color w:val="0000FF"/>
            <w:sz w:val="20"/>
            <w:u w:val="single"/>
          </w:rPr>
          <w:t>Table of Contents</w:t>
        </w:r>
      </w:hyperlink>
    </w:p>
    <w:p>
      <w:pPr>
        <w:pStyle w:val="TextBody"/>
        <w:bidi w:val="0"/>
        <w:spacing w:lineRule="auto" w:line="288" w:before="40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Sotera Health Company </w:t>
      </w:r>
    </w:p>
    <w:p>
      <w:pPr>
        <w:pStyle w:val="TextBody"/>
        <w:bidi w:val="0"/>
        <w:spacing w:lineRule="auto" w:line="288" w:before="60" w:after="240"/>
        <w:jc w:val="center"/>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Litigation with prejudice (the “Dismissal Order and Judgment”). The Michigan Funds appealed the Dismissal Order and Judgment to the United States Court of Appeals for the Sixth Circuit (the “Michigan Funds Appeal”). On February 24, 2026, the United States Court of Appeals for the Sixth Circuit affirmed the Dismissal Order and Judgment.</w:t>
      </w:r>
    </w:p>
    <w:p>
      <w:pPr>
        <w:pStyle w:val="TextBody"/>
        <w:bidi w:val="0"/>
        <w:spacing w:lineRule="auto" w:line="288" w:before="200" w:after="283"/>
        <w:jc w:val="left"/>
        <w:rPr/>
      </w:pPr>
      <w:r>
        <w:rPr>
          <w:rFonts w:ascii="Times New Roman;serif" w:hAnsi="Times New Roman;serif"/>
          <w:b w:val="false"/>
          <w:color w:val="000000"/>
          <w:sz w:val="20"/>
          <w:shd w:fill="FFFFFF" w:val="clear"/>
        </w:rPr>
        <w:t>In</w:t>
      </w:r>
      <w:r>
        <w:rPr>
          <w:color w:val="000000"/>
        </w:rPr>
        <w:t xml:space="preserve"> </w:t>
      </w:r>
      <w:r>
        <w:rPr>
          <w:rFonts w:ascii="Times New Roman;serif" w:hAnsi="Times New Roman;serif"/>
          <w:b w:val="false"/>
          <w:color w:val="000000"/>
          <w:sz w:val="20"/>
        </w:rPr>
        <w:t>May 2024, a stockholder derivative lawsuit was filed in the Court of Chancery of the State of Delaware (the “Delaware Chancery Court”) for the benefit of the Company as the nominal defendant (the “May 2024 Derivative Litigation”). The plaintiffs allege breaches of fiduciary duties, insider trading, unjust enrichment and other violations by certain past and present directors and senior executives of the Company and the Company’s private equity stockholders, and seek damages sustained by the Company and other forms of relief including restitution, rescission and disgorgement. On June 25, 2024, the Delaware Chancery Court stayed the May 2024 Derivative Litigation pending a ruling on the merits on the motion to dismiss the Amended Complaint in the Michigan Funds Litigation and that stay has been extended by agreement of the parties until the Sixth Circuit Court of Appeals decides the Michigan Funds Appeal.</w:t>
      </w:r>
    </w:p>
    <w:p>
      <w:pPr>
        <w:pStyle w:val="TextBody"/>
        <w:bidi w:val="0"/>
        <w:spacing w:lineRule="auto" w:line="288" w:before="200" w:after="283"/>
        <w:jc w:val="left"/>
        <w:rPr/>
      </w:pPr>
      <w:r>
        <w:rPr>
          <w:rFonts w:ascii="Times New Roman;serif" w:hAnsi="Times New Roman;serif"/>
          <w:b w:val="false"/>
          <w:color w:val="000000"/>
          <w:sz w:val="20"/>
          <w:shd w:fill="FFFFFF" w:val="clear"/>
        </w:rPr>
        <w:t>The Company plans to vigorously defend the May 2024 Derivative Litigation</w:t>
      </w:r>
      <w:r>
        <w:rPr>
          <w:rFonts w:ascii="Times New Roman;serif" w:hAnsi="Times New Roman;serif"/>
          <w:b w:val="false"/>
          <w:color w:val="000000"/>
          <w:sz w:val="20"/>
        </w:rPr>
        <w:t>.</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 has also received demands pursuant to 8 Del. C. §220 for inspections of its books and records (“220 Demands”) from shareholders purporting to investigate potential wrongdoing by Company fiduciaries and other issues relating to the Company’s statements regarding the safety of its use of EO and/or the EO tort lawsuits and other risks of its EO operations. The Company has produced documents in response to the 220 Demands and may produce additional documents.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360"/>
        <w:jc w:val="left"/>
        <w:rPr>
          <w:rFonts w:ascii="Times New Roman;serif" w:hAnsi="Times New Roman;serif"/>
          <w:b/>
          <w:color w:val="000000"/>
          <w:sz w:val="20"/>
        </w:rPr>
      </w:pPr>
      <w:r>
        <w:rPr>
          <w:rFonts w:ascii="Times New Roman;serif" w:hAnsi="Times New Roman;serif"/>
          <w:b/>
          <w:color w:val="000000"/>
          <w:sz w:val="20"/>
        </w:rPr>
        <w:t xml:space="preserve">20.Financial Instruments and Financial Risk </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 xml:space="preserve">Derivative Instruments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do not use derivatives for trading or speculative purposes and are not a party to leveraged derivatives. </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Derivatives Designated in Hedge Relationships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From time to time, the Company utilizes interest rate derivatives designated in hedge relationships to manage interest rate risk associated with our variable rate borrowings. These instruments are measured at fair value with changes in fair value recorded as a component of “Accumulated other comprehensive loss” on our Consolidated Balance Sheets.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In March 2025, we entered into an interest rate swap agreement with a notional amount of $400.0 million. The interest rate swap became effective on August 31, 2025 and expires on August 31, 2027. We have designated the interest swap as a cash</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flow hedge designed to hedge the variability of cash flows attributable to changes in the SOFR benchmark interest rate of our Term Loan (or any successor thereto). We receive interest at the one-month Term SOFR rate and pay a fixed interest rate under</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terms of the swap agreement.</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In March 2023, we entered into an interest rate swap agreement with a notional amount of $400.0 million. The interest rate swap was effective on August 23, 2023 and expired on August 23, 2025. We designated the interest rate swap as a cash flow hedge designed to hedge the variability of cash flows attributable to changes in the SOFR benchmark interest rate of our Term Loan (or any successor thereto). We received interest at the one-month Term SOFR rate and paid a fixed interest rate under the terms of the swap agreement.</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Derivatives Not Designated in Hedge Relationships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Company also enters into foreign currency forward contracts to manage foreign currency exchange rate risk of our intercompany loans in certain of our international subsidiaries and non-functional currency assets and liabilities. The foreign currency forward contracts expire on a monthly basis. These foreign currency derivatives are not designated in hedge relationships.</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Embedded Derivatives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We have embedded derivatives in certain of our customer and supply contracts as a result of the currency of the contract being different from the functional currency of the parties involved. Changes in the fair value of the embedded derivatives are recognized in “Other income, net” in the Consolidated Statements of Operations and Comprehensive Income (Loss).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105" name="Frame10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103</w:t>
                      </w:r>
                    </w:p>
                  </w:txbxContent>
                </v:textbox>
                <w10:wrap type="none"/>
              </v:rect>
            </w:pict>
          </mc:Fallback>
        </mc:AlternateContent>
      </w:r>
    </w:p>
    <w:p>
      <w:pPr>
        <w:pStyle w:val="TextBody"/>
        <w:bidi w:val="0"/>
        <w:spacing w:lineRule="auto" w:line="288" w:before="0" w:after="0"/>
        <w:jc w:val="left"/>
        <w:rPr/>
      </w:pPr>
      <w:hyperlink w:anchor="i27c953b2e3004595bc062f37867a09bd_7">
        <w:r>
          <w:rPr>
            <w:rStyle w:val="InternetLink"/>
            <w:rFonts w:ascii="Times New Roman;serif" w:hAnsi="Times New Roman;serif"/>
            <w:b w:val="false"/>
            <w:color w:val="0000FF"/>
            <w:sz w:val="20"/>
            <w:u w:val="single"/>
          </w:rPr>
          <w:t>Table of Contents</w:t>
        </w:r>
      </w:hyperlink>
    </w:p>
    <w:p>
      <w:pPr>
        <w:pStyle w:val="TextBody"/>
        <w:bidi w:val="0"/>
        <w:spacing w:lineRule="auto" w:line="288" w:before="40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Sotera Health Company </w:t>
      </w:r>
    </w:p>
    <w:p>
      <w:pPr>
        <w:pStyle w:val="TextBody"/>
        <w:bidi w:val="0"/>
        <w:spacing w:lineRule="auto" w:line="288" w:before="60" w:after="240"/>
        <w:jc w:val="center"/>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provides a summary of the notional and fair values of our derivative instruments: </w:t>
      </w:r>
    </w:p>
    <w:tbl>
      <w:tblPr>
        <w:tblW w:w="10205" w:type="dxa"/>
        <w:jc w:val="left"/>
        <w:tblInd w:w="0" w:type="dxa"/>
        <w:tblLayout w:type="fixed"/>
        <w:tblCellMar>
          <w:top w:w="28" w:type="dxa"/>
          <w:left w:w="28" w:type="dxa"/>
          <w:bottom w:w="28" w:type="dxa"/>
          <w:right w:w="28" w:type="dxa"/>
        </w:tblCellMar>
      </w:tblPr>
      <w:tblGrid>
        <w:gridCol w:w="917"/>
        <w:gridCol w:w="672"/>
        <w:gridCol w:w="675"/>
        <w:gridCol w:w="251"/>
        <w:gridCol w:w="752"/>
        <w:gridCol w:w="129"/>
        <w:gridCol w:w="109"/>
        <w:gridCol w:w="109"/>
        <w:gridCol w:w="109"/>
        <w:gridCol w:w="249"/>
        <w:gridCol w:w="745"/>
        <w:gridCol w:w="128"/>
        <w:gridCol w:w="269"/>
        <w:gridCol w:w="806"/>
        <w:gridCol w:w="139"/>
        <w:gridCol w:w="109"/>
        <w:gridCol w:w="109"/>
        <w:gridCol w:w="109"/>
        <w:gridCol w:w="253"/>
        <w:gridCol w:w="739"/>
        <w:gridCol w:w="130"/>
        <w:gridCol w:w="109"/>
        <w:gridCol w:w="109"/>
        <w:gridCol w:w="109"/>
        <w:gridCol w:w="250"/>
        <w:gridCol w:w="732"/>
        <w:gridCol w:w="129"/>
        <w:gridCol w:w="268"/>
        <w:gridCol w:w="785"/>
        <w:gridCol w:w="206"/>
      </w:tblGrid>
      <w:tr>
        <w:trPr/>
        <w:tc>
          <w:tcPr>
            <w:tcW w:w="917"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5" w:type="dxa"/>
            <w:gridSpan w:val="12"/>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9" w:type="dxa"/>
            <w:gridSpan w:val="12"/>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22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(in U.S. dollars; notional in millions, fair value in thousands)</w:t>
            </w:r>
          </w:p>
        </w:tc>
        <w:tc>
          <w:tcPr>
            <w:tcW w:w="113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6" w:type="dxa"/>
            <w:gridSpan w:val="6"/>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6"/>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w:t>
            </w:r>
          </w:p>
        </w:tc>
      </w:tr>
      <w:tr>
        <w:trPr/>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Notional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Derivative Assets</w:t>
            </w:r>
          </w:p>
        </w:tc>
        <w:tc>
          <w:tcPr>
            <w:tcW w:w="121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Derivative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Notional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Derivative Assets</w:t>
            </w:r>
          </w:p>
        </w:tc>
        <w:tc>
          <w:tcPr>
            <w:tcW w:w="125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Derivative Liabilities</w:t>
            </w:r>
          </w:p>
        </w:tc>
      </w:tr>
      <w:tr>
        <w:trPr/>
        <w:tc>
          <w:tcPr>
            <w:tcW w:w="22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Derivatives designated as hedging instruments</w:t>
            </w:r>
          </w:p>
        </w:tc>
        <w:tc>
          <w:tcPr>
            <w:tcW w:w="11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Interest rate swaps</w:t>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400.0</w:t>
            </w: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2,346</w:t>
            </w: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Derivatives not designated as hedging instruments</w:t>
            </w:r>
          </w:p>
        </w:tc>
        <w:tc>
          <w:tcPr>
            <w:tcW w:w="11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forward contracts</w:t>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val="false"/>
                <w:color w:val="000000"/>
                <w:sz w:val="20"/>
              </w:rPr>
            </w:pPr>
            <w:r>
              <w:rPr>
                <w:rFonts w:ascii="Times New Roman;serif" w:hAnsi="Times New Roman;serif"/>
                <w:b w:val="false"/>
                <w:color w:val="000000"/>
                <w:sz w:val="20"/>
              </w:rPr>
              <w:t>Embedded derivatives</w:t>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264.4</w:t>
            </w: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2"/>
              </w:rPr>
            </w:pPr>
            <w:r>
              <w:rPr>
                <w:rFonts w:ascii="Times New Roman;serif" w:hAnsi="Times New Roman;serif"/>
                <w:b w:val="false"/>
                <w:color w:val="000000"/>
                <w:sz w:val="12"/>
              </w:rPr>
              <w:t>(a)</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1,162</w:t>
            </w: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1,872</w:t>
            </w: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230.8 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2"/>
              </w:rPr>
            </w:pPr>
            <w:r>
              <w:rPr>
                <w:rFonts w:ascii="Times New Roman;serif" w:hAnsi="Times New Roman;serif"/>
                <w:b w:val="false"/>
                <w:color w:val="000000"/>
                <w:sz w:val="12"/>
              </w:rPr>
              <w:t>(a)</w:t>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2,689 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4,098 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664.4</w:t>
            </w:r>
            <w:r>
              <w:rPr>
                <w:color w:val="000000"/>
              </w:rPr>
              <w:t> </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1,162</w:t>
            </w:r>
            <w:r>
              <w:rPr>
                <w:color w:val="000000"/>
              </w:rPr>
              <w:t> </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4,218</w:t>
            </w:r>
            <w:r>
              <w:rPr>
                <w:color w:val="000000"/>
              </w:rPr>
              <w:t> </w:t>
            </w:r>
          </w:p>
        </w:tc>
        <w:tc>
          <w:tcPr>
            <w:tcW w:w="1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894.5 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3,236 </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4,296 </w:t>
            </w:r>
          </w:p>
        </w:tc>
        <w:tc>
          <w:tcPr>
            <w:tcW w:w="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pPr>
      <w:r>
        <w:rPr>
          <w:rFonts w:ascii="Times New Roman;serif" w:hAnsi="Times New Roman;serif"/>
          <w:b w:val="false"/>
          <w:color w:val="000000"/>
          <w:sz w:val="18"/>
        </w:rPr>
        <w:t>(a)</w:t>
      </w:r>
      <w:r>
        <w:rPr>
          <w:rFonts w:ascii="Times New Roman;serif" w:hAnsi="Times New Roman;serif"/>
          <w:b w:val="false"/>
          <w:color w:val="000000"/>
          <w:sz w:val="20"/>
        </w:rPr>
        <w:t>Represents the total notional amounts for certain of the Company’s supply and sales contracts accounted for as embedded derivatives.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Embedded derivatives assets/liabilities and foreign currency forward contracts are included in “Prepaid expenses and other current assets” and “Accrued Liabilities” on our Consolidated Balance Sheets depending upon their position at period end. Interest rate swaps are included in “Other assets” and “Noncurrent liabilities” on the Consolidated Balance Sheets depending upon their position at period end.</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the activities of our derivative instruments for the periods presented, and the line item they are recorded in the Consolidated Statements of Operations and Comprehensive Income (Loss): </w:t>
      </w:r>
    </w:p>
    <w:tbl>
      <w:tblPr>
        <w:tblW w:w="10205" w:type="dxa"/>
        <w:jc w:val="left"/>
        <w:tblInd w:w="0" w:type="dxa"/>
        <w:tblLayout w:type="fixed"/>
        <w:tblCellMar>
          <w:top w:w="28" w:type="dxa"/>
          <w:left w:w="28" w:type="dxa"/>
          <w:bottom w:w="28" w:type="dxa"/>
          <w:right w:w="28" w:type="dxa"/>
        </w:tblCellMar>
      </w:tblPr>
      <w:tblGrid>
        <w:gridCol w:w="2300"/>
        <w:gridCol w:w="1997"/>
        <w:gridCol w:w="2003"/>
        <w:gridCol w:w="211"/>
        <w:gridCol w:w="678"/>
        <w:gridCol w:w="109"/>
        <w:gridCol w:w="109"/>
        <w:gridCol w:w="109"/>
        <w:gridCol w:w="109"/>
        <w:gridCol w:w="211"/>
        <w:gridCol w:w="783"/>
        <w:gridCol w:w="109"/>
        <w:gridCol w:w="109"/>
        <w:gridCol w:w="109"/>
        <w:gridCol w:w="109"/>
        <w:gridCol w:w="211"/>
        <w:gridCol w:w="783"/>
        <w:gridCol w:w="156"/>
      </w:tblGrid>
      <w:tr>
        <w:trPr/>
        <w:tc>
          <w:tcPr>
            <w:tcW w:w="2300" w:type="dxa"/>
            <w:tcBorders/>
            <w:vAlign w:val="center"/>
          </w:tcPr>
          <w:p>
            <w:pPr>
              <w:pStyle w:val="TableContents"/>
              <w:bidi w:val="0"/>
              <w:spacing w:before="0" w:after="283"/>
              <w:jc w:val="left"/>
              <w:rPr>
                <w:sz w:val="4"/>
                <w:szCs w:val="4"/>
              </w:rPr>
            </w:pPr>
            <w:r>
              <w:rPr>
                <w:sz w:val="4"/>
                <w:szCs w:val="4"/>
              </w:rPr>
            </w:r>
          </w:p>
        </w:tc>
        <w:tc>
          <w:tcPr>
            <w:tcW w:w="1997" w:type="dxa"/>
            <w:tcBorders/>
            <w:vAlign w:val="center"/>
          </w:tcPr>
          <w:p>
            <w:pPr>
              <w:pStyle w:val="TableContents"/>
              <w:bidi w:val="0"/>
              <w:spacing w:before="0" w:after="283"/>
              <w:jc w:val="left"/>
              <w:rPr>
                <w:sz w:val="4"/>
                <w:szCs w:val="4"/>
              </w:rPr>
            </w:pPr>
            <w:r>
              <w:rPr>
                <w:sz w:val="4"/>
                <w:szCs w:val="4"/>
              </w:rPr>
            </w:r>
          </w:p>
        </w:tc>
        <w:tc>
          <w:tcPr>
            <w:tcW w:w="20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30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(thousands of U.S. dollars)</w:t>
            </w:r>
          </w:p>
        </w:tc>
        <w:tc>
          <w:tcPr>
            <w:tcW w:w="99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u w:val="single"/>
              </w:rPr>
            </w:pPr>
            <w:r>
              <w:rPr>
                <w:rFonts w:ascii="Times New Roman;serif" w:hAnsi="Times New Roman;serif"/>
                <w:b/>
                <w:color w:val="000000"/>
                <w:sz w:val="16"/>
                <w:u w:val="single"/>
              </w:rPr>
              <w:t>Year Ended December 31,</w:t>
            </w:r>
          </w:p>
        </w:tc>
        <w:tc>
          <w:tcPr>
            <w:tcW w:w="99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63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Realized gain on interest rate derivatives recorded in interest expense, net</w:t>
            </w:r>
            <w:r>
              <w:rPr>
                <w:rFonts w:ascii="Times New Roman;serif" w:hAnsi="Times New Roman;serif"/>
                <w:b w:val="false"/>
                <w:color w:val="000000"/>
                <w:sz w:val="13"/>
              </w:rPr>
              <w:t>(a)</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(1,505)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(13,233)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(33,094)</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Unrealized (gain) loss on embedded derivatives recorded in other income, net</w:t>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Realized (gain) loss on foreign currency forward contracts recorded in foreign exchange loss</w:t>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(6,033)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Unrealized (gain) loss on foreign currency forward contracts recorded in foreign exchange loss</w:t>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630"/>
        <w:jc w:val="left"/>
        <w:rPr/>
      </w:pPr>
      <w:r>
        <w:rPr>
          <w:rFonts w:ascii="Times New Roman;serif" w:hAnsi="Times New Roman;serif"/>
          <w:b w:val="false"/>
          <w:color w:val="000000"/>
          <w:sz w:val="19"/>
        </w:rPr>
        <w:t>(a)    A</w:t>
      </w:r>
      <w:r>
        <w:rPr>
          <w:rFonts w:ascii="Times New Roman;serif" w:hAnsi="Times New Roman;serif"/>
          <w:b w:val="false"/>
          <w:color w:val="000000"/>
          <w:sz w:val="18"/>
        </w:rPr>
        <w:t>mounts represent periodic settlement of interest rate caps and swaps.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 expect to reclassify approximately $1.0 million of after-tax net losses on derivative instruments from accumulated other comprehensive income (loss) to income during the next 12 months associated with our cash flow hedges. Refer to Note 13, “Other Comprehensive Income (Loss)” for unrealized gains on interest rate derivatives, net of applicable tax, recorded in other comprehensive income (loss) and amounts reclassified from accumulated other comprehensive income to interest expense, net of applicable tax, during the years ended December 31, 2025 and December 31, 2024.</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 xml:space="preserve">Credit Risk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Certain of our financial assets, including cash and cash equivalents, are exposed to credit risk.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are also exposed, in our normal course of business, to credit risk from our customers. As of December 31, 2025 and 2024, accounts receivable was net of an allowance for uncollectible accounts of $3.0 million and $2.5 million, respectively.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Credit risk on financial instruments arises from the potential for counterparties to default on their contractual obligations to us. We are exposed to credit risk in the event of non-performance, but do not anticipate non-performance by any of the counterparties to our financial instruments. We limit our credit risk by dealing with counterparties that are considered to be of high credit quality. In the event of non-performance by counterparties, the carrying value of our financial instruments represents the maximum amount of loss that would be incurred.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credit team evaluates and regularly monitors changes in the credit risk of our customers. We routinely assess the collectability of accounts receivable and maintain an adequate allowance for uncollectible accounts to address potential credit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106" name="Frame10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104</w:t>
                      </w:r>
                    </w:p>
                  </w:txbxContent>
                </v:textbox>
                <w10:wrap type="none"/>
              </v:rect>
            </w:pict>
          </mc:Fallback>
        </mc:AlternateContent>
      </w:r>
    </w:p>
    <w:p>
      <w:pPr>
        <w:pStyle w:val="TextBody"/>
        <w:bidi w:val="0"/>
        <w:spacing w:lineRule="auto" w:line="288" w:before="0" w:after="0"/>
        <w:jc w:val="left"/>
        <w:rPr/>
      </w:pPr>
      <w:hyperlink w:anchor="i27c953b2e3004595bc062f37867a09bd_7">
        <w:r>
          <w:rPr>
            <w:rStyle w:val="InternetLink"/>
            <w:rFonts w:ascii="Times New Roman;serif" w:hAnsi="Times New Roman;serif"/>
            <w:b w:val="false"/>
            <w:color w:val="0000FF"/>
            <w:sz w:val="20"/>
            <w:u w:val="single"/>
          </w:rPr>
          <w:t>Table of Contents</w:t>
        </w:r>
      </w:hyperlink>
    </w:p>
    <w:p>
      <w:pPr>
        <w:pStyle w:val="TextBody"/>
        <w:bidi w:val="0"/>
        <w:spacing w:lineRule="auto" w:line="288" w:before="40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Sotera Health Company </w:t>
      </w:r>
    </w:p>
    <w:p>
      <w:pPr>
        <w:pStyle w:val="TextBody"/>
        <w:bidi w:val="0"/>
        <w:spacing w:lineRule="auto" w:line="288" w:before="60" w:after="240"/>
        <w:jc w:val="center"/>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losses. The process includes a review of customer financial information and credit ratings, current market conditions as well as the expected future economic conditions that may impact the collection of trade receivables. We regularly review our customers’ past due amounts through an analysis of aged accounts receivables, specific customer past due aging amounts, and the history of trade receivables written off. Upon concluding that a receivable balance is not collectible, the balance is written off against the allowance for uncollectible accounts.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 xml:space="preserve">Fair Value Hierarchy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fair value of our financial instruments is the price that would be received to sell an asset or paid to transfer a liability in an orderly transaction between market participants at the measurement date. The valuation techniques we would use to determine such fair values are described as follows: Level 1—fair values determined by inputs utilizing quoted prices in active markets for identical assets or liabilities; Level 2—fair values based on observable inputs other than quoted prices included in Level 1, such as quoted prices for similar assets and liabilities in active markets, quoted prices for identical or similar assets and liabilities in markets that are not active, or other inputs that are observable; Level 3—fair values determined by unobservable inputs reflecting our own assumptions, consistent with reasonably available assumptions made by other market participants.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discloses the fair value our financial assets and liabilities: </w:t>
      </w:r>
    </w:p>
    <w:tbl>
      <w:tblPr>
        <w:tblW w:w="10007" w:type="dxa"/>
        <w:jc w:val="left"/>
        <w:tblInd w:w="0" w:type="dxa"/>
        <w:tblLayout w:type="fixed"/>
        <w:tblCellMar>
          <w:top w:w="28" w:type="dxa"/>
          <w:left w:w="28" w:type="dxa"/>
          <w:bottom w:w="28" w:type="dxa"/>
          <w:right w:w="28" w:type="dxa"/>
        </w:tblCellMar>
      </w:tblPr>
      <w:tblGrid>
        <w:gridCol w:w="1583"/>
        <w:gridCol w:w="1395"/>
        <w:gridCol w:w="1401"/>
        <w:gridCol w:w="109"/>
        <w:gridCol w:w="109"/>
        <w:gridCol w:w="109"/>
        <w:gridCol w:w="552"/>
        <w:gridCol w:w="469"/>
        <w:gridCol w:w="471"/>
        <w:gridCol w:w="109"/>
        <w:gridCol w:w="109"/>
        <w:gridCol w:w="109"/>
        <w:gridCol w:w="224"/>
        <w:gridCol w:w="224"/>
        <w:gridCol w:w="226"/>
        <w:gridCol w:w="109"/>
        <w:gridCol w:w="109"/>
        <w:gridCol w:w="109"/>
        <w:gridCol w:w="493"/>
        <w:gridCol w:w="498"/>
        <w:gridCol w:w="226"/>
        <w:gridCol w:w="109"/>
        <w:gridCol w:w="109"/>
        <w:gridCol w:w="109"/>
        <w:gridCol w:w="224"/>
        <w:gridCol w:w="224"/>
        <w:gridCol w:w="226"/>
        <w:gridCol w:w="109"/>
        <w:gridCol w:w="154"/>
      </w:tblGrid>
      <w:tr>
        <w:trPr/>
        <w:tc>
          <w:tcPr>
            <w:tcW w:w="1583"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c>
          <w:tcPr>
            <w:tcW w:w="1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u w:val="single"/>
              </w:rPr>
            </w:pPr>
            <w:r>
              <w:rPr>
                <w:rFonts w:ascii="Times New Roman;serif" w:hAnsi="Times New Roman;serif"/>
                <w:b/>
                <w:color w:val="000000"/>
                <w:sz w:val="16"/>
                <w:u w:val="single"/>
              </w:rPr>
              <w:t>As of 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263" w:type="dxa"/>
            <w:gridSpan w:val="2"/>
            <w:tcBorders/>
          </w:tcPr>
          <w:p>
            <w:pPr>
              <w:pStyle w:val="TableContents"/>
              <w:bidi w:val="0"/>
              <w:spacing w:before="0" w:after="283"/>
              <w:jc w:val="left"/>
              <w:rPr>
                <w:sz w:val="4"/>
                <w:szCs w:val="4"/>
              </w:rPr>
            </w:pPr>
            <w:r>
              <w:rPr>
                <w:sz w:val="4"/>
                <w:szCs w:val="4"/>
              </w:rPr>
            </w:r>
          </w:p>
        </w:tc>
      </w:tr>
      <w:tr>
        <w:trPr/>
        <w:tc>
          <w:tcPr>
            <w:tcW w:w="437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(thousands of U.S. dollars)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Carrying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Level 1 </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Level 2 </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Level 3 </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Derivatives designated as hedging instruments</w:t>
            </w:r>
            <w:r>
              <w:rPr>
                <w:rFonts w:ascii="Times New Roman;serif" w:hAnsi="Times New Roman;serif"/>
                <w:b w:val="false"/>
                <w:color w:val="000000"/>
                <w:sz w:val="13"/>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2,346</w:t>
            </w:r>
            <w:r>
              <w:rPr>
                <w:color w:val="000000"/>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2,346</w:t>
            </w: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Derivatives not designated as hedging instruments</w:t>
            </w:r>
            <w:r>
              <w:rPr>
                <w:rFonts w:ascii="Times New Roman;serif" w:hAnsi="Times New Roman;serif"/>
                <w:b w:val="false"/>
                <w:color w:val="000000"/>
                <w:sz w:val="13"/>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Embedded derivative assets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1,162</w:t>
            </w:r>
            <w:r>
              <w:rPr>
                <w:color w:val="000000"/>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1,162</w:t>
            </w: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Embedded derivative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1,872</w:t>
            </w:r>
            <w:r>
              <w:rPr>
                <w:color w:val="000000"/>
              </w:rPr>
              <w:t> </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1,872</w:t>
            </w: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Current portion of long-term debt</w:t>
            </w:r>
            <w:r>
              <w:rPr>
                <w:rFonts w:ascii="Times New Roman;serif" w:hAnsi="Times New Roman;serif"/>
                <w:b w:val="false"/>
                <w:color w:val="000000"/>
                <w:sz w:val="13"/>
              </w:rPr>
              <w:t>(c)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Loan, due 2031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13,973</w:t>
            </w:r>
            <w:r>
              <w:rPr>
                <w:color w:val="000000"/>
              </w:rPr>
              <w:t> </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14,327</w:t>
            </w: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Long-Term Debt</w:t>
            </w:r>
            <w:r>
              <w:rPr>
                <w:rFonts w:ascii="Times New Roman;serif" w:hAnsi="Times New Roman;serif"/>
                <w:b w:val="false"/>
                <w:color w:val="000000"/>
                <w:sz w:val="13"/>
              </w:rPr>
              <w:t>(c)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secured Notes, due 2031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746,871</w:t>
            </w:r>
            <w:r>
              <w:rPr>
                <w:color w:val="000000"/>
              </w:rPr>
              <w:t> </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789,375</w:t>
            </w: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loan, due 2031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1,379,853</w:t>
            </w:r>
            <w:r>
              <w:rPr>
                <w:color w:val="000000"/>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1,410,539</w:t>
            </w: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Finance Lease Obligations (with current portion)</w:t>
            </w:r>
            <w:r>
              <w:rPr>
                <w:rFonts w:ascii="Times New Roman;serif" w:hAnsi="Times New Roman;serif"/>
                <w:b w:val="false"/>
                <w:color w:val="000000"/>
                <w:sz w:val="13"/>
              </w:rPr>
              <w:t>(d)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97,300</w:t>
            </w:r>
            <w:r>
              <w:rPr>
                <w:color w:val="000000"/>
              </w:rPr>
              <w:t> </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97,300</w:t>
            </w: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9896" w:type="dxa"/>
        <w:jc w:val="left"/>
        <w:tblInd w:w="0" w:type="dxa"/>
        <w:tblLayout w:type="fixed"/>
        <w:tblCellMar>
          <w:top w:w="28" w:type="dxa"/>
          <w:left w:w="28" w:type="dxa"/>
          <w:bottom w:w="28" w:type="dxa"/>
          <w:right w:w="28" w:type="dxa"/>
        </w:tblCellMar>
      </w:tblPr>
      <w:tblGrid>
        <w:gridCol w:w="1583"/>
        <w:gridCol w:w="1395"/>
        <w:gridCol w:w="1401"/>
        <w:gridCol w:w="109"/>
        <w:gridCol w:w="109"/>
        <w:gridCol w:w="109"/>
        <w:gridCol w:w="378"/>
        <w:gridCol w:w="836"/>
        <w:gridCol w:w="195"/>
        <w:gridCol w:w="109"/>
        <w:gridCol w:w="109"/>
        <w:gridCol w:w="109"/>
        <w:gridCol w:w="211"/>
        <w:gridCol w:w="406"/>
        <w:gridCol w:w="109"/>
        <w:gridCol w:w="109"/>
        <w:gridCol w:w="109"/>
        <w:gridCol w:w="109"/>
        <w:gridCol w:w="302"/>
        <w:gridCol w:w="674"/>
        <w:gridCol w:w="109"/>
        <w:gridCol w:w="109"/>
        <w:gridCol w:w="109"/>
        <w:gridCol w:w="109"/>
        <w:gridCol w:w="211"/>
        <w:gridCol w:w="406"/>
        <w:gridCol w:w="109"/>
        <w:gridCol w:w="109"/>
        <w:gridCol w:w="154"/>
      </w:tblGrid>
      <w:tr>
        <w:trPr/>
        <w:tc>
          <w:tcPr>
            <w:tcW w:w="1583"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c>
          <w:tcPr>
            <w:tcW w:w="1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u w:val="single"/>
              </w:rPr>
            </w:pPr>
            <w:r>
              <w:rPr>
                <w:rFonts w:ascii="Times New Roman;serif" w:hAnsi="Times New Roman;serif"/>
                <w:b/>
                <w:color w:val="000000"/>
                <w:sz w:val="16"/>
                <w:u w:val="single"/>
              </w:rPr>
              <w:t>As of 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263" w:type="dxa"/>
            <w:gridSpan w:val="2"/>
            <w:tcBorders/>
          </w:tcPr>
          <w:p>
            <w:pPr>
              <w:pStyle w:val="TableContents"/>
              <w:bidi w:val="0"/>
              <w:spacing w:before="0" w:after="283"/>
              <w:jc w:val="left"/>
              <w:rPr>
                <w:sz w:val="4"/>
                <w:szCs w:val="4"/>
              </w:rPr>
            </w:pPr>
            <w:r>
              <w:rPr>
                <w:sz w:val="4"/>
                <w:szCs w:val="4"/>
              </w:rPr>
            </w:r>
          </w:p>
        </w:tc>
      </w:tr>
      <w:tr>
        <w:trPr/>
        <w:tc>
          <w:tcPr>
            <w:tcW w:w="437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(thousands of U.S. dollars)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Carrying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Level 1 </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Level 2 </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Level 3 </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Derivatives designated as hedging instruments</w:t>
            </w:r>
            <w:r>
              <w:rPr>
                <w:rFonts w:ascii="Times New Roman;serif" w:hAnsi="Times New Roman;serif"/>
                <w:b w:val="false"/>
                <w:color w:val="000000"/>
                <w:sz w:val="13"/>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Derivatives not designated as hedging instruments</w:t>
            </w:r>
            <w:r>
              <w:rPr>
                <w:rFonts w:ascii="Times New Roman;serif" w:hAnsi="Times New Roman;serif"/>
                <w:b w:val="false"/>
                <w:color w:val="000000"/>
                <w:sz w:val="13"/>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forward contracts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forward contracts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Embedded derivative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2,689 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Embedded derivative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4,098 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Current portion of long-term debt</w:t>
            </w:r>
            <w:r>
              <w:rPr>
                <w:rFonts w:ascii="Times New Roman;serif" w:hAnsi="Times New Roman;serif"/>
                <w:b w:val="false"/>
                <w:color w:val="000000"/>
                <w:sz w:val="13"/>
              </w:rPr>
              <w:t>(c)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loan, due 2031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14,803 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Long-Term Debt</w:t>
            </w:r>
            <w:r>
              <w:rPr>
                <w:rFonts w:ascii="Times New Roman;serif" w:hAnsi="Times New Roman;serif"/>
                <w:b w:val="false"/>
                <w:color w:val="000000"/>
                <w:sz w:val="13"/>
              </w:rPr>
              <w:t>(c)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Secured Notes, due 2031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746,293 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759,375 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loan, due 2031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1,461,807 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1,493,314 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Finance Lease Obligations (with current portion)</w:t>
            </w:r>
            <w:r>
              <w:rPr>
                <w:rFonts w:ascii="Times New Roman;serif" w:hAnsi="Times New Roman;serif"/>
                <w:b w:val="false"/>
                <w:color w:val="000000"/>
                <w:sz w:val="13"/>
              </w:rPr>
              <w:t>(d)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98,209 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98,209 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 xml:space="preserve">(a)Derivatives designated as hedging instruments are measured at fair value with changes in fair value recorded as a component of accumulated other comprehensive income (loss). Interest rate swaps are valued using pricing models that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685"/>
                <wp:effectExtent l="0" t="0" r="0" b="0"/>
                <wp:wrapNone/>
                <wp:docPr id="107" name="Frame10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105</w:t>
                      </w:r>
                    </w:p>
                  </w:txbxContent>
                </v:textbox>
                <w10:wrap type="none"/>
              </v:rect>
            </w:pict>
          </mc:Fallback>
        </mc:AlternateContent>
      </w:r>
    </w:p>
    <w:p>
      <w:pPr>
        <w:pStyle w:val="TextBody"/>
        <w:bidi w:val="0"/>
        <w:spacing w:lineRule="auto" w:line="288" w:before="0" w:after="0"/>
        <w:jc w:val="left"/>
        <w:rPr/>
      </w:pPr>
      <w:hyperlink w:anchor="i27c953b2e3004595bc062f37867a09bd_7">
        <w:r>
          <w:rPr>
            <w:rStyle w:val="InternetLink"/>
            <w:rFonts w:ascii="Times New Roman;serif" w:hAnsi="Times New Roman;serif"/>
            <w:b w:val="false"/>
            <w:color w:val="0000FF"/>
            <w:sz w:val="20"/>
            <w:u w:val="single"/>
          </w:rPr>
          <w:t>Table of Contents</w:t>
        </w:r>
      </w:hyperlink>
    </w:p>
    <w:p>
      <w:pPr>
        <w:pStyle w:val="TextBody"/>
        <w:bidi w:val="0"/>
        <w:spacing w:lineRule="auto" w:line="288" w:before="40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Sotera Health Company </w:t>
      </w:r>
    </w:p>
    <w:p>
      <w:pPr>
        <w:pStyle w:val="TextBody"/>
        <w:bidi w:val="0"/>
        <w:spacing w:lineRule="auto" w:line="288" w:before="60" w:after="240"/>
        <w:jc w:val="center"/>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incorporate observable market inputs including interest rate curves and yield curves. Additional information is provided in Note 1, “Significant Accounting Policies.”</w:t>
      </w:r>
    </w:p>
    <w:p>
      <w:pPr>
        <w:pStyle w:val="TextBody"/>
        <w:bidi w:val="0"/>
        <w:spacing w:lineRule="auto" w:line="26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 xml:space="preserve">(b)Derivatives that are not designated as hedging instruments are measured at fair value with gains or losses recognized immediately in the Consolidated Statements of Operations and Comprehensive Income (Loss). Refer also to Note 1, “Significant Accounting Policies.” Embedded derivatives are valued using internally developed models that rely on observable market inputs, including foreign currency forward curves. Foreign currency forward contracts are valued by reference to changes in foreign currency exchange rate over the life of the contract. </w:t>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 xml:space="preserve">(c)Carrying amounts of current portion of long-term debt and long-term debt instruments are reported net of discounts and debt issuance costs. The estimated fair value of these instruments are based upon quoted prices for the Term Loan and the Secured Notes in inactive markets as provided by an independent fixed income security pricing service. </w:t>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(d)Refer to Note 17, “Leases.” Fair value approximates carrying value.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360"/>
        <w:jc w:val="left"/>
        <w:rPr>
          <w:rFonts w:ascii="Times New Roman;serif" w:hAnsi="Times New Roman;serif"/>
          <w:b/>
          <w:color w:val="000000"/>
          <w:sz w:val="20"/>
        </w:rPr>
      </w:pPr>
      <w:r>
        <w:rPr>
          <w:rFonts w:ascii="Times New Roman;serif" w:hAnsi="Times New Roman;serif"/>
          <w:b/>
          <w:color w:val="000000"/>
          <w:sz w:val="20"/>
        </w:rPr>
        <w:t xml:space="preserve">21.Segment and Geographic Information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 identify our operating segments based on the way we manage, evaluate and internally report our business activities for purposes of allocating resources and assessing performance. We have three reportable segments: Sterigenics, Nordion and Nelson Labs. We have determined our reportable segments based upon an assessment of organizational structure, service types, and internally prepared financial statements. Our chief operating decision maker, the Chairman and Chief Executive Officer of Sotera Health Company (“CODM”), evaluates performance and allocates resources based on segment income after the elimination of intercompany activities. The CODM uses these performance measures to inform decisions about the operations of the business and dedication of resources to selling and general administrative matters pertinent to the Company. The accounting policies of our reportable segments are the same as those described in Note 1, “Significant Accounting Policies.”</w:t>
      </w:r>
    </w:p>
    <w:p>
      <w:pPr>
        <w:pStyle w:val="TextBody"/>
        <w:bidi w:val="0"/>
        <w:spacing w:lineRule="auto" w:line="288" w:before="20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Sterigenics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Sterigenics provides outsourced terminal sterilization and irradiation services for the medical device, pharmaceutical, food safety and advanced applications markets using three major technologies: gamma irradiation, EO processing and E-beam irradiation.</w:t>
      </w:r>
    </w:p>
    <w:p>
      <w:pPr>
        <w:pStyle w:val="TextBody"/>
        <w:bidi w:val="0"/>
        <w:spacing w:lineRule="auto" w:line="288" w:before="20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 xml:space="preserve">Nordion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Nordion is a leading global provider of Co-60 used in the sterilization and irradiation processes for the medical device, pharmaceutical, food safety, and high-performance materials industries, as well as in the treatment of cancer. In addition, Nordion is a leading global provider of gamma irradiation systems. </w:t>
      </w:r>
    </w:p>
    <w:p>
      <w:pPr>
        <w:pStyle w:val="TextBody"/>
        <w:bidi w:val="0"/>
        <w:spacing w:lineRule="auto" w:line="288" w:before="20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 xml:space="preserve">Nelson Labs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Nelson Labs provides outsourced microbiological and analytical chemistry testing and advisory services for the medical device and pharmaceutical industries. </w:t>
      </w:r>
    </w:p>
    <w:p>
      <w:pPr>
        <w:pStyle w:val="TextBody"/>
        <w:bidi w:val="0"/>
        <w:spacing w:lineRule="auto" w:line="288" w:before="20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Segment Revenue Concentrations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For the year ended December 31, 2025, two customers reported within the Nordion segment individually represented 10% or more of the segment’s total net revenues. These customers represented 34.8% and 11.0% of the total segment’s external net revenues for the year ended December 31, 2025. For the year ended December 31, 2024, one customer reported within the Nordion segment individually represented 10% or more of the segment’s total net revenues. This customer represented 34.3% of the total segment’s external net revenues for the year ended December 31, 2024. For the year ended December 31, 2023, two customers reported within the Nordion segment individually represented 10% or more of the segment’s total net revenues. These customers represented 34.9% and 13.9% of the total segment’s external net revenues for the year ended December 31, 2023.</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Financial information for each of our segments is presented in the following table: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685"/>
                <wp:effectExtent l="0" t="0" r="0" b="0"/>
                <wp:wrapNone/>
                <wp:docPr id="108" name="Frame10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106</w:t>
                      </w:r>
                    </w:p>
                  </w:txbxContent>
                </v:textbox>
                <w10:wrap type="none"/>
              </v:rect>
            </w:pict>
          </mc:Fallback>
        </mc:AlternateContent>
      </w:r>
    </w:p>
    <w:p>
      <w:pPr>
        <w:pStyle w:val="TextBody"/>
        <w:bidi w:val="0"/>
        <w:spacing w:lineRule="auto" w:line="288" w:before="0" w:after="0"/>
        <w:jc w:val="left"/>
        <w:rPr/>
      </w:pPr>
      <w:hyperlink w:anchor="i27c953b2e3004595bc062f37867a09bd_7">
        <w:r>
          <w:rPr>
            <w:rStyle w:val="InternetLink"/>
            <w:rFonts w:ascii="Times New Roman;serif" w:hAnsi="Times New Roman;serif"/>
            <w:b w:val="false"/>
            <w:color w:val="0000FF"/>
            <w:sz w:val="20"/>
            <w:u w:val="single"/>
          </w:rPr>
          <w:t>Table of Contents</w:t>
        </w:r>
      </w:hyperlink>
    </w:p>
    <w:p>
      <w:pPr>
        <w:pStyle w:val="TextBody"/>
        <w:bidi w:val="0"/>
        <w:spacing w:lineRule="auto" w:line="288" w:before="40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Sotera Health Company </w:t>
      </w:r>
    </w:p>
    <w:p>
      <w:pPr>
        <w:pStyle w:val="TextBody"/>
        <w:bidi w:val="0"/>
        <w:spacing w:lineRule="auto" w:line="288" w:before="60" w:after="240"/>
        <w:jc w:val="center"/>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w:t>
      </w:r>
    </w:p>
    <w:tbl>
      <w:tblPr>
        <w:tblW w:w="8445" w:type="dxa"/>
        <w:jc w:val="left"/>
        <w:tblInd w:w="0" w:type="dxa"/>
        <w:tblLayout w:type="fixed"/>
        <w:tblCellMar>
          <w:top w:w="28" w:type="dxa"/>
          <w:left w:w="28" w:type="dxa"/>
          <w:bottom w:w="28" w:type="dxa"/>
          <w:right w:w="28" w:type="dxa"/>
        </w:tblCellMar>
      </w:tblPr>
      <w:tblGrid>
        <w:gridCol w:w="962"/>
        <w:gridCol w:w="845"/>
        <w:gridCol w:w="848"/>
        <w:gridCol w:w="211"/>
        <w:gridCol w:w="841"/>
        <w:gridCol w:w="109"/>
        <w:gridCol w:w="109"/>
        <w:gridCol w:w="109"/>
        <w:gridCol w:w="109"/>
        <w:gridCol w:w="211"/>
        <w:gridCol w:w="841"/>
        <w:gridCol w:w="109"/>
        <w:gridCol w:w="109"/>
        <w:gridCol w:w="109"/>
        <w:gridCol w:w="109"/>
        <w:gridCol w:w="211"/>
        <w:gridCol w:w="826"/>
        <w:gridCol w:w="109"/>
        <w:gridCol w:w="109"/>
        <w:gridCol w:w="109"/>
        <w:gridCol w:w="109"/>
        <w:gridCol w:w="211"/>
        <w:gridCol w:w="976"/>
        <w:gridCol w:w="154"/>
      </w:tblGrid>
      <w:tr>
        <w:trPr/>
        <w:tc>
          <w:tcPr>
            <w:tcW w:w="962"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 Ended December 31, 2025</w:t>
            </w:r>
          </w:p>
        </w:tc>
      </w:tr>
      <w:tr>
        <w:trPr/>
        <w:tc>
          <w:tcPr>
            <w:tcW w:w="26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(thousands of U.S. dollars)</w:t>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Sterigenics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Nordion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Nelson Labs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Net revenues</w:t>
            </w:r>
            <w:r>
              <w:rPr>
                <w:rFonts w:ascii="Times New Roman;serif" w:hAnsi="Times New Roman;serif"/>
                <w:b w:val="false"/>
                <w:color w:val="000000"/>
                <w:sz w:val="13"/>
              </w:rPr>
              <w:t>(a)</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755,780 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187,618 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220,219 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1,163,617 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Segment expenses</w:t>
            </w:r>
            <w:r>
              <w:rPr>
                <w:rFonts w:ascii="Times New Roman;serif" w:hAnsi="Times New Roman;serif"/>
                <w:b w:val="false"/>
                <w:color w:val="000000"/>
                <w:sz w:val="13"/>
              </w:rPr>
              <w:t>(b)</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306,621 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74,533 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141,477 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522,631 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Corporate expense allocation</w:t>
            </w:r>
            <w:r>
              <w:rPr>
                <w:rFonts w:ascii="Times New Roman;serif" w:hAnsi="Times New Roman;serif"/>
                <w:b w:val="false"/>
                <w:color w:val="000000"/>
                <w:sz w:val="13"/>
              </w:rPr>
              <w:t>(c)</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Segment income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412,893</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107,578</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73,330</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593,801</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8445" w:type="dxa"/>
        <w:jc w:val="left"/>
        <w:tblInd w:w="0" w:type="dxa"/>
        <w:tblLayout w:type="fixed"/>
        <w:tblCellMar>
          <w:top w:w="28" w:type="dxa"/>
          <w:left w:w="28" w:type="dxa"/>
          <w:bottom w:w="28" w:type="dxa"/>
          <w:right w:w="28" w:type="dxa"/>
        </w:tblCellMar>
      </w:tblPr>
      <w:tblGrid>
        <w:gridCol w:w="962"/>
        <w:gridCol w:w="845"/>
        <w:gridCol w:w="848"/>
        <w:gridCol w:w="211"/>
        <w:gridCol w:w="841"/>
        <w:gridCol w:w="109"/>
        <w:gridCol w:w="109"/>
        <w:gridCol w:w="109"/>
        <w:gridCol w:w="109"/>
        <w:gridCol w:w="211"/>
        <w:gridCol w:w="841"/>
        <w:gridCol w:w="109"/>
        <w:gridCol w:w="109"/>
        <w:gridCol w:w="109"/>
        <w:gridCol w:w="109"/>
        <w:gridCol w:w="211"/>
        <w:gridCol w:w="826"/>
        <w:gridCol w:w="109"/>
        <w:gridCol w:w="109"/>
        <w:gridCol w:w="109"/>
        <w:gridCol w:w="109"/>
        <w:gridCol w:w="211"/>
        <w:gridCol w:w="976"/>
        <w:gridCol w:w="154"/>
      </w:tblGrid>
      <w:tr>
        <w:trPr/>
        <w:tc>
          <w:tcPr>
            <w:tcW w:w="962"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 Ended December 31, 2024</w:t>
            </w:r>
          </w:p>
        </w:tc>
      </w:tr>
      <w:tr>
        <w:trPr/>
        <w:tc>
          <w:tcPr>
            <w:tcW w:w="26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(thousands of U.S. dollars)</w:t>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Sterigenics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Nordion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Nelson Labs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Net revenues</w:t>
            </w:r>
            <w:r>
              <w:rPr>
                <w:rFonts w:ascii="Times New Roman;serif" w:hAnsi="Times New Roman;serif"/>
                <w:b w:val="false"/>
                <w:color w:val="000000"/>
                <w:sz w:val="13"/>
              </w:rPr>
              <w:t>(a)</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697,853 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173,355 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229,233 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1,100,441 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Segment expenses</w:t>
            </w:r>
            <w:r>
              <w:rPr>
                <w:rFonts w:ascii="Times New Roman;serif" w:hAnsi="Times New Roman;serif"/>
                <w:b w:val="false"/>
                <w:color w:val="000000"/>
                <w:sz w:val="13"/>
              </w:rPr>
              <w:t>(b)</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286,434 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155,088 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508,609 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Corporate expense allocation</w:t>
            </w:r>
            <w:r>
              <w:rPr>
                <w:rFonts w:ascii="Times New Roman;serif" w:hAnsi="Times New Roman;serif"/>
                <w:b w:val="false"/>
                <w:color w:val="000000"/>
                <w:sz w:val="13"/>
              </w:rPr>
              <w:t>(c)</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Segment income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378,171</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101,220</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69,183</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548,574</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8430" w:type="dxa"/>
        <w:jc w:val="left"/>
        <w:tblInd w:w="0" w:type="dxa"/>
        <w:tblLayout w:type="fixed"/>
        <w:tblCellMar>
          <w:top w:w="28" w:type="dxa"/>
          <w:left w:w="28" w:type="dxa"/>
          <w:bottom w:w="28" w:type="dxa"/>
          <w:right w:w="28" w:type="dxa"/>
        </w:tblCellMar>
      </w:tblPr>
      <w:tblGrid>
        <w:gridCol w:w="962"/>
        <w:gridCol w:w="845"/>
        <w:gridCol w:w="848"/>
        <w:gridCol w:w="211"/>
        <w:gridCol w:w="841"/>
        <w:gridCol w:w="109"/>
        <w:gridCol w:w="109"/>
        <w:gridCol w:w="109"/>
        <w:gridCol w:w="109"/>
        <w:gridCol w:w="211"/>
        <w:gridCol w:w="826"/>
        <w:gridCol w:w="109"/>
        <w:gridCol w:w="109"/>
        <w:gridCol w:w="109"/>
        <w:gridCol w:w="109"/>
        <w:gridCol w:w="211"/>
        <w:gridCol w:w="826"/>
        <w:gridCol w:w="109"/>
        <w:gridCol w:w="109"/>
        <w:gridCol w:w="109"/>
        <w:gridCol w:w="109"/>
        <w:gridCol w:w="211"/>
        <w:gridCol w:w="976"/>
        <w:gridCol w:w="154"/>
      </w:tblGrid>
      <w:tr>
        <w:trPr/>
        <w:tc>
          <w:tcPr>
            <w:tcW w:w="962"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 Ended December 31, 2023</w:t>
            </w:r>
          </w:p>
        </w:tc>
      </w:tr>
      <w:tr>
        <w:trPr/>
        <w:tc>
          <w:tcPr>
            <w:tcW w:w="26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(thousands of U.S. dollars)</w:t>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Sterigenics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Nordion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Nelson Labs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Net revenues</w:t>
            </w:r>
            <w:r>
              <w:rPr>
                <w:rFonts w:ascii="Times New Roman;serif" w:hAnsi="Times New Roman;serif"/>
                <w:b w:val="false"/>
                <w:color w:val="000000"/>
                <w:sz w:val="13"/>
              </w:rPr>
              <w:t>(a)</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667,130 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160,459 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221,699 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1,049,288 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Segment expenses</w:t>
            </w:r>
            <w:r>
              <w:rPr>
                <w:rFonts w:ascii="Times New Roman;serif" w:hAnsi="Times New Roman;serif"/>
                <w:b w:val="false"/>
                <w:color w:val="000000"/>
                <w:sz w:val="13"/>
              </w:rPr>
              <w:t>(b)</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275,424 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148,209 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483,032 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Corporate expense allocation</w:t>
            </w:r>
            <w:r>
              <w:rPr>
                <w:rFonts w:ascii="Times New Roman;serif" w:hAnsi="Times New Roman;serif"/>
                <w:b w:val="false"/>
                <w:color w:val="000000"/>
                <w:sz w:val="13"/>
              </w:rPr>
              <w:t>(c)</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Segment income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362,212</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96,678</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69,139</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528,029</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540"/>
        <w:jc w:val="left"/>
        <w:rPr>
          <w:rFonts w:ascii="Times New Roman;serif" w:hAnsi="Times New Roman;serif"/>
          <w:b w:val="false"/>
          <w:color w:val="000000"/>
          <w:sz w:val="18"/>
        </w:rPr>
      </w:pPr>
      <w:r>
        <w:rPr>
          <w:rFonts w:ascii="Times New Roman;serif" w:hAnsi="Times New Roman;serif"/>
          <w:b w:val="false"/>
          <w:color w:val="000000"/>
          <w:sz w:val="18"/>
        </w:rPr>
        <w:t xml:space="preserve">(a)Revenues are reported net of intersegment sales. Our Nordion segment recognized $25.9 million, $58.7 million and $43.9 million in revenues from sales to our Sterigenics segment for the years ended December 31, 2025, 2024 and 2023, respectively, that is not reflected in net revenues in the table above. Intersegment sales for Sterigenics and Nelson Labs are immaterial for all periods presented. </w:t>
      </w:r>
    </w:p>
    <w:p>
      <w:pPr>
        <w:pStyle w:val="TextBody"/>
        <w:bidi w:val="0"/>
        <w:spacing w:lineRule="auto" w:line="288" w:before="0" w:after="0"/>
        <w:ind w:left="0" w:right="0" w:hanging="540"/>
        <w:jc w:val="left"/>
        <w:rPr>
          <w:rFonts w:ascii="Times New Roman;serif" w:hAnsi="Times New Roman;serif"/>
          <w:b w:val="false"/>
          <w:color w:val="000000"/>
          <w:sz w:val="18"/>
        </w:rPr>
      </w:pPr>
      <w:r>
        <w:rPr>
          <w:rFonts w:ascii="Times New Roman;serif" w:hAnsi="Times New Roman;serif"/>
          <w:b w:val="false"/>
          <w:color w:val="000000"/>
          <w:sz w:val="18"/>
        </w:rPr>
        <w:t>(b)Segment expenses are comprised of direct materials, labor, utilities, other costs of revenues, SG&amp;A, and other non-operating expense (income) attributable to each segment.</w:t>
      </w:r>
    </w:p>
    <w:p>
      <w:pPr>
        <w:pStyle w:val="TextBody"/>
        <w:bidi w:val="0"/>
        <w:spacing w:lineRule="auto" w:line="288" w:before="0" w:after="0"/>
        <w:ind w:left="0" w:right="0" w:hanging="540"/>
        <w:jc w:val="left"/>
        <w:rPr>
          <w:rFonts w:ascii="Times New Roman;serif" w:hAnsi="Times New Roman;serif"/>
          <w:b w:val="false"/>
          <w:color w:val="000000"/>
          <w:sz w:val="18"/>
        </w:rPr>
      </w:pPr>
      <w:r>
        <w:rPr>
          <w:rFonts w:ascii="Times New Roman;serif" w:hAnsi="Times New Roman;serif"/>
          <w:b w:val="false"/>
          <w:color w:val="000000"/>
          <w:sz w:val="18"/>
        </w:rPr>
        <w:t>(c)Corporate operating expenses that are directly incurred by a segment are reflected in each segment’s income. The remaining Corporate operating expenses for executive management, accounting, IT, legal, human resources, treasury, investor relations, corporate development, tax, purchasing, and marketing not directly incurred by a segment are allocated to the segments primarily based on total net revenue.</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 by segment for the years ended December 31, 2025, 2024 and 2023 were as follows:</w:t>
      </w:r>
    </w:p>
    <w:tbl>
      <w:tblPr>
        <w:tblW w:w="6492" w:type="dxa"/>
        <w:jc w:val="left"/>
        <w:tblInd w:w="0" w:type="dxa"/>
        <w:tblLayout w:type="fixed"/>
        <w:tblCellMar>
          <w:top w:w="28" w:type="dxa"/>
          <w:left w:w="28" w:type="dxa"/>
          <w:bottom w:w="28" w:type="dxa"/>
          <w:right w:w="28" w:type="dxa"/>
        </w:tblCellMar>
      </w:tblPr>
      <w:tblGrid>
        <w:gridCol w:w="848"/>
        <w:gridCol w:w="745"/>
        <w:gridCol w:w="747"/>
        <w:gridCol w:w="211"/>
        <w:gridCol w:w="841"/>
        <w:gridCol w:w="109"/>
        <w:gridCol w:w="109"/>
        <w:gridCol w:w="109"/>
        <w:gridCol w:w="109"/>
        <w:gridCol w:w="211"/>
        <w:gridCol w:w="826"/>
        <w:gridCol w:w="109"/>
        <w:gridCol w:w="109"/>
        <w:gridCol w:w="109"/>
        <w:gridCol w:w="109"/>
        <w:gridCol w:w="211"/>
        <w:gridCol w:w="826"/>
        <w:gridCol w:w="154"/>
      </w:tblGrid>
      <w:tr>
        <w:trPr/>
        <w:tc>
          <w:tcPr>
            <w:tcW w:w="848"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 Ended December 31,</w:t>
            </w:r>
          </w:p>
        </w:tc>
      </w:tr>
      <w:tr>
        <w:trPr/>
        <w:tc>
          <w:tcPr>
            <w:tcW w:w="23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(thousands of U.S. dollars)</w:t>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Sterigenics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99,383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131,258 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163,043 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Nordion</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21,832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Nelson Labs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16,803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capital expenditures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138,018</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179,070 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214,975 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assets and depreciation and amortization expense by segment are not readily available and are not reported separately to the CODM.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685"/>
                <wp:effectExtent l="0" t="0" r="0" b="0"/>
                <wp:wrapNone/>
                <wp:docPr id="109" name="Frame10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107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107</w:t>
                      </w:r>
                    </w:p>
                  </w:txbxContent>
                </v:textbox>
                <w10:wrap type="none"/>
              </v:rect>
            </w:pict>
          </mc:Fallback>
        </mc:AlternateContent>
      </w:r>
    </w:p>
    <w:p>
      <w:pPr>
        <w:pStyle w:val="TextBody"/>
        <w:bidi w:val="0"/>
        <w:spacing w:lineRule="auto" w:line="288" w:before="0" w:after="0"/>
        <w:jc w:val="left"/>
        <w:rPr/>
      </w:pPr>
      <w:hyperlink w:anchor="i27c953b2e3004595bc062f37867a09bd_7">
        <w:r>
          <w:rPr>
            <w:rStyle w:val="InternetLink"/>
            <w:rFonts w:ascii="Times New Roman;serif" w:hAnsi="Times New Roman;serif"/>
            <w:b w:val="false"/>
            <w:color w:val="0000FF"/>
            <w:sz w:val="20"/>
            <w:u w:val="single"/>
          </w:rPr>
          <w:t>Table of Contents</w:t>
        </w:r>
      </w:hyperlink>
    </w:p>
    <w:p>
      <w:pPr>
        <w:pStyle w:val="TextBody"/>
        <w:bidi w:val="0"/>
        <w:spacing w:lineRule="auto" w:line="288" w:before="40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Sotera Health Company </w:t>
      </w:r>
    </w:p>
    <w:p>
      <w:pPr>
        <w:pStyle w:val="TextBody"/>
        <w:bidi w:val="0"/>
        <w:spacing w:lineRule="auto" w:line="288" w:before="60" w:after="240"/>
        <w:jc w:val="center"/>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 reconciliation of segment income to consolidated income (loss) before taxes is as follows: </w:t>
      </w:r>
    </w:p>
    <w:tbl>
      <w:tblPr>
        <w:tblW w:w="10205" w:type="dxa"/>
        <w:jc w:val="left"/>
        <w:tblInd w:w="0" w:type="dxa"/>
        <w:tblLayout w:type="fixed"/>
        <w:tblCellMar>
          <w:top w:w="28" w:type="dxa"/>
          <w:left w:w="28" w:type="dxa"/>
          <w:bottom w:w="28" w:type="dxa"/>
          <w:right w:w="28" w:type="dxa"/>
        </w:tblCellMar>
      </w:tblPr>
      <w:tblGrid>
        <w:gridCol w:w="2228"/>
        <w:gridCol w:w="1910"/>
        <w:gridCol w:w="1914"/>
        <w:gridCol w:w="211"/>
        <w:gridCol w:w="841"/>
        <w:gridCol w:w="109"/>
        <w:gridCol w:w="109"/>
        <w:gridCol w:w="109"/>
        <w:gridCol w:w="109"/>
        <w:gridCol w:w="211"/>
        <w:gridCol w:w="826"/>
        <w:gridCol w:w="109"/>
        <w:gridCol w:w="109"/>
        <w:gridCol w:w="109"/>
        <w:gridCol w:w="109"/>
        <w:gridCol w:w="211"/>
        <w:gridCol w:w="826"/>
        <w:gridCol w:w="155"/>
      </w:tblGrid>
      <w:tr>
        <w:trPr/>
        <w:tc>
          <w:tcPr>
            <w:tcW w:w="2228" w:type="dxa"/>
            <w:tcBorders/>
            <w:vAlign w:val="center"/>
          </w:tcPr>
          <w:p>
            <w:pPr>
              <w:pStyle w:val="TableContents"/>
              <w:bidi w:val="0"/>
              <w:spacing w:before="0" w:after="283"/>
              <w:jc w:val="left"/>
              <w:rPr>
                <w:sz w:val="4"/>
                <w:szCs w:val="4"/>
              </w:rPr>
            </w:pPr>
            <w:r>
              <w:rPr>
                <w:sz w:val="4"/>
                <w:szCs w:val="4"/>
              </w:rPr>
            </w:r>
          </w:p>
        </w:tc>
        <w:tc>
          <w:tcPr>
            <w:tcW w:w="1910" w:type="dxa"/>
            <w:tcBorders/>
            <w:vAlign w:val="center"/>
          </w:tcPr>
          <w:p>
            <w:pPr>
              <w:pStyle w:val="TableContents"/>
              <w:bidi w:val="0"/>
              <w:spacing w:before="0" w:after="283"/>
              <w:jc w:val="left"/>
              <w:rPr>
                <w:sz w:val="4"/>
                <w:szCs w:val="4"/>
              </w:rPr>
            </w:pPr>
            <w:r>
              <w:rPr>
                <w:sz w:val="4"/>
                <w:szCs w:val="4"/>
              </w:rPr>
            </w:r>
          </w:p>
        </w:tc>
        <w:tc>
          <w:tcPr>
            <w:tcW w:w="19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05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(thousands of U.S. dollars)</w:t>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u w:val="single"/>
              </w:rPr>
            </w:pPr>
            <w:r>
              <w:rPr>
                <w:rFonts w:ascii="Times New Roman;serif" w:hAnsi="Times New Roman;serif"/>
                <w:b/>
                <w:color w:val="000000"/>
                <w:sz w:val="16"/>
                <w:u w:val="single"/>
              </w:rPr>
              <w:t>Year Ended December 31,</w:t>
            </w:r>
          </w:p>
        </w:tc>
        <w:tc>
          <w:tcPr>
            <w:tcW w:w="11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6052"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color w:val="000000"/>
                <w:sz w:val="20"/>
              </w:rPr>
            </w:pPr>
            <w:r>
              <w:rPr>
                <w:rFonts w:ascii="Times New Roman;serif" w:hAnsi="Times New Roman;serif"/>
                <w:b/>
                <w:color w:val="000000"/>
                <w:sz w:val="20"/>
              </w:rPr>
              <w:t>Segment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593,801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548,574 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528,029 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Less adjustments:</w:t>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155,722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164,691 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142,878 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2"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pPr>
            <w:r>
              <w:rPr>
                <w:rFonts w:ascii="Times New Roman;serif" w:hAnsi="Times New Roman;serif"/>
                <w:b w:val="false"/>
                <w:color w:val="000000"/>
                <w:sz w:val="20"/>
              </w:rPr>
              <w:t>Depreciation and amortization</w:t>
            </w:r>
            <w:r>
              <w:rPr>
                <w:rFonts w:ascii="Times New Roman;serif" w:hAnsi="Times New Roman;serif"/>
                <w:b w:val="false"/>
                <w:color w:val="000000"/>
                <w:sz w:val="10"/>
              </w:rPr>
              <w:t>(a)</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136,428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161,797 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157,925 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2"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pPr>
            <w:r>
              <w:rPr>
                <w:rFonts w:ascii="Times New Roman;serif" w:hAnsi="Times New Roman;serif"/>
                <w:b w:val="false"/>
                <w:color w:val="000000"/>
                <w:sz w:val="20"/>
              </w:rPr>
              <w:t>Share-based compensation</w:t>
            </w:r>
            <w:r>
              <w:rPr>
                <w:rFonts w:ascii="Times New Roman;serif" w:hAnsi="Times New Roman;serif"/>
                <w:b w:val="false"/>
                <w:color w:val="000000"/>
                <w:sz w:val="10"/>
              </w:rPr>
              <w:t>(b)</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31,068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32,364 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Loss on refinancing of debt</w:t>
            </w:r>
            <w:r>
              <w:rPr>
                <w:rFonts w:ascii="Times New Roman;serif" w:hAnsi="Times New Roman;serif"/>
                <w:b w:val="false"/>
                <w:color w:val="000000"/>
                <w:sz w:val="10"/>
              </w:rPr>
              <w:t>(c)</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1,462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Loss (gain) on foreign currency and derivatives not designated as hedging instruments, net</w:t>
            </w:r>
            <w:r>
              <w:rPr>
                <w:rFonts w:ascii="Times New Roman;serif" w:hAnsi="Times New Roman;serif"/>
                <w:b w:val="false"/>
                <w:color w:val="000000"/>
                <w:sz w:val="10"/>
              </w:rPr>
              <w:t>(d)</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(1,552)</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2"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pPr>
            <w:r>
              <w:rPr>
                <w:rFonts w:ascii="Times New Roman;serif" w:hAnsi="Times New Roman;serif"/>
                <w:b w:val="false"/>
                <w:color w:val="000000"/>
                <w:sz w:val="20"/>
              </w:rPr>
              <w:t>Business optimization expenses</w:t>
            </w:r>
            <w:r>
              <w:rPr>
                <w:rFonts w:ascii="Times New Roman;serif" w:hAnsi="Times New Roman;serif"/>
                <w:b w:val="false"/>
                <w:color w:val="000000"/>
                <w:sz w:val="10"/>
              </w:rPr>
              <w:t>(e)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8,068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2"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pPr>
            <w:r>
              <w:rPr>
                <w:rFonts w:ascii="Times New Roman;serif" w:hAnsi="Times New Roman;serif"/>
                <w:b w:val="false"/>
                <w:color w:val="000000"/>
                <w:sz w:val="20"/>
              </w:rPr>
              <w:t>Professional services relating to EO sterilization facilities</w:t>
            </w:r>
            <w:r>
              <w:rPr>
                <w:rFonts w:ascii="Times New Roman;serif" w:hAnsi="Times New Roman;serif"/>
                <w:b w:val="false"/>
                <w:color w:val="000000"/>
                <w:sz w:val="10"/>
              </w:rPr>
              <w:t>(f)</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46,225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45,312 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2"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pPr>
            <w:r>
              <w:rPr>
                <w:rFonts w:ascii="Times New Roman;serif" w:hAnsi="Times New Roman;serif"/>
                <w:b w:val="false"/>
                <w:color w:val="000000"/>
                <w:sz w:val="20"/>
              </w:rPr>
              <w:t>Illinois EO litigation settlements</w:t>
            </w:r>
            <w:r>
              <w:rPr>
                <w:rFonts w:ascii="Times New Roman;serif" w:hAnsi="Times New Roman;serif"/>
                <w:b w:val="false"/>
                <w:color w:val="000000"/>
                <w:sz w:val="10"/>
              </w:rPr>
              <w:t>(g)</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64,943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2"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pPr>
            <w:r>
              <w:rPr>
                <w:rFonts w:ascii="Times New Roman;serif" w:hAnsi="Times New Roman;serif"/>
                <w:b w:val="false"/>
                <w:color w:val="000000"/>
                <w:sz w:val="20"/>
              </w:rPr>
              <w:t>Georgia EO litigation settlement</w:t>
            </w:r>
            <w:r>
              <w:rPr>
                <w:rFonts w:ascii="Times New Roman;serif" w:hAnsi="Times New Roman;serif"/>
                <w:b w:val="false"/>
                <w:color w:val="000000"/>
                <w:sz w:val="10"/>
              </w:rPr>
              <w:t>(h)</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35,000 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2"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pPr>
            <w:r>
              <w:rPr>
                <w:rFonts w:ascii="Times New Roman;serif" w:hAnsi="Times New Roman;serif"/>
                <w:b w:val="false"/>
                <w:color w:val="000000"/>
                <w:sz w:val="20"/>
              </w:rPr>
              <w:t>Accretion of asset retirement obligation</w:t>
            </w:r>
            <w:r>
              <w:rPr>
                <w:rFonts w:ascii="Times New Roman;serif" w:hAnsi="Times New Roman;serif"/>
                <w:b w:val="false"/>
                <w:color w:val="000000"/>
                <w:sz w:val="10"/>
              </w:rPr>
              <w:t>(i)</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2,321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2"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color w:val="000000"/>
                <w:sz w:val="20"/>
              </w:rPr>
            </w:pPr>
            <w:r>
              <w:rPr>
                <w:rFonts w:ascii="Times New Roman;serif" w:hAnsi="Times New Roman;serif"/>
                <w:b/>
                <w:color w:val="000000"/>
                <w:sz w:val="20"/>
              </w:rPr>
              <w:t>Consolidated income before taxes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147,506</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113,874 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106,027 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hanging="5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(a)Includes depreciation of Co-60 held at gamma irradiation sites, and excludes accelerated depreciation associated with business optimization activities.</w:t>
      </w:r>
    </w:p>
    <w:p>
      <w:pPr>
        <w:pStyle w:val="TextBody"/>
        <w:bidi w:val="0"/>
        <w:spacing w:lineRule="auto" w:line="288" w:before="40" w:after="283"/>
        <w:ind w:left="0" w:right="0" w:hanging="5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(b)Represents share-based compensation expense related to employees and Non-Employee Directors. See Note 15, “Share-Based Compensation” for further information.</w:t>
      </w:r>
    </w:p>
    <w:p>
      <w:pPr>
        <w:pStyle w:val="TextBody"/>
        <w:bidi w:val="0"/>
        <w:spacing w:lineRule="auto" w:line="288" w:before="40" w:after="283"/>
        <w:ind w:left="0" w:right="0" w:hanging="5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(c)Represents the write-off of unamortized debt issuance costs and discounts, as well as certain other costs incurred related to the refinancing activity for the Term Loans, the Secured Notes and the Revolving Credit Facility.</w:t>
      </w:r>
    </w:p>
    <w:p>
      <w:pPr>
        <w:pStyle w:val="TextBody"/>
        <w:bidi w:val="0"/>
        <w:spacing w:lineRule="auto" w:line="288" w:before="40" w:after="283"/>
        <w:ind w:left="0" w:right="0" w:hanging="5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(d)Represents the effects of (i) fluctuations in foreign currency exchange rates and (ii) non-cash mark-to-fair value of embedded derivatives relating to certain customer and supply contracts at Nordion. </w:t>
      </w:r>
    </w:p>
    <w:p>
      <w:pPr>
        <w:pStyle w:val="TextBody"/>
        <w:bidi w:val="0"/>
        <w:spacing w:lineRule="auto" w:line="288" w:before="40" w:after="283"/>
        <w:ind w:left="0" w:right="0" w:hanging="5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(e)Represents (i) certain costs related to divestitures, acquisitions and the integration of acquisitions, (ii) professional fees and other costs associated with business optimization, cost saving and other process enhancement projects, and (iii) legal, consulting, and other fees associated with secondary offerings and shareholder engagement. </w:t>
      </w:r>
    </w:p>
    <w:p>
      <w:pPr>
        <w:pStyle w:val="TextBody"/>
        <w:bidi w:val="0"/>
        <w:spacing w:lineRule="auto" w:line="288" w:before="40" w:after="283"/>
        <w:ind w:left="0" w:right="0" w:hanging="5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(f)Represents litigation and other professional fees associated with our EO sterilization facilities.</w:t>
      </w:r>
    </w:p>
    <w:p>
      <w:pPr>
        <w:pStyle w:val="TextBody"/>
        <w:bidi w:val="0"/>
        <w:spacing w:lineRule="auto" w:line="288" w:before="40" w:after="283"/>
        <w:ind w:left="0" w:right="0" w:hanging="5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(g)Represents (i) the cost to settle 97 pending and threatened EO claims against Sterigenics in Illinois pursuant to the term sheet entered into on April 3, 2025 and (ii) the cost to settle 129 pending and threatened EO claims against Sterigenics in Illinois pursuant to the term sheet entered into on July 23, 2025. See Note 19, “Commitments and Contingencies.”</w:t>
      </w:r>
    </w:p>
    <w:p>
      <w:pPr>
        <w:pStyle w:val="TextBody"/>
        <w:bidi w:val="0"/>
        <w:spacing w:lineRule="auto" w:line="288" w:before="40" w:after="283"/>
        <w:ind w:left="0" w:right="0" w:hanging="5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(h)Represents the cost to settle 79 pending EO claims in Georgia under a settlement entered into on December 21, 2023. See Note 19, “Commitments and Contingencies.”</w:t>
      </w:r>
    </w:p>
    <w:p>
      <w:pPr>
        <w:pStyle w:val="TextBody"/>
        <w:bidi w:val="0"/>
        <w:spacing w:lineRule="auto" w:line="288" w:before="40" w:after="283"/>
        <w:ind w:left="0" w:right="0" w:hanging="5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(i)Represents non-cash accretion of ARO related to Co-60 gamma and EO processing facilities, which are based on estimated site remediation costs for any future decommissioning of these facilities and are accreted over the life of the asset.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685"/>
                <wp:effectExtent l="0" t="0" r="0" b="0"/>
                <wp:wrapNone/>
                <wp:docPr id="110" name="Frame10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108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108</w:t>
                      </w:r>
                    </w:p>
                  </w:txbxContent>
                </v:textbox>
                <w10:wrap type="none"/>
              </v:rect>
            </w:pict>
          </mc:Fallback>
        </mc:AlternateContent>
      </w:r>
    </w:p>
    <w:p>
      <w:pPr>
        <w:pStyle w:val="TextBody"/>
        <w:bidi w:val="0"/>
        <w:spacing w:lineRule="auto" w:line="288" w:before="0" w:after="0"/>
        <w:jc w:val="left"/>
        <w:rPr/>
      </w:pPr>
      <w:hyperlink w:anchor="i27c953b2e3004595bc062f37867a09bd_7">
        <w:r>
          <w:rPr>
            <w:rStyle w:val="InternetLink"/>
            <w:rFonts w:ascii="Times New Roman;serif" w:hAnsi="Times New Roman;serif"/>
            <w:b w:val="false"/>
            <w:color w:val="0000FF"/>
            <w:sz w:val="20"/>
            <w:u w:val="single"/>
          </w:rPr>
          <w:t>Table of Contents</w:t>
        </w:r>
      </w:hyperlink>
    </w:p>
    <w:p>
      <w:pPr>
        <w:pStyle w:val="TextBody"/>
        <w:bidi w:val="0"/>
        <w:spacing w:lineRule="auto" w:line="288" w:before="40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Sotera Health Company </w:t>
      </w:r>
    </w:p>
    <w:p>
      <w:pPr>
        <w:pStyle w:val="TextBody"/>
        <w:bidi w:val="0"/>
        <w:spacing w:lineRule="auto" w:line="288" w:before="60" w:after="240"/>
        <w:jc w:val="center"/>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Geographic Information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revenues for geographic area are reported by the country’s origin of the revenues. </w:t>
      </w:r>
    </w:p>
    <w:tbl>
      <w:tblPr>
        <w:tblW w:w="6612" w:type="dxa"/>
        <w:jc w:val="left"/>
        <w:tblInd w:w="0" w:type="dxa"/>
        <w:tblLayout w:type="fixed"/>
        <w:tblCellMar>
          <w:top w:w="28" w:type="dxa"/>
          <w:left w:w="28" w:type="dxa"/>
          <w:bottom w:w="28" w:type="dxa"/>
          <w:right w:w="28" w:type="dxa"/>
        </w:tblCellMar>
      </w:tblPr>
      <w:tblGrid>
        <w:gridCol w:w="728"/>
        <w:gridCol w:w="640"/>
        <w:gridCol w:w="642"/>
        <w:gridCol w:w="211"/>
        <w:gridCol w:w="991"/>
        <w:gridCol w:w="109"/>
        <w:gridCol w:w="109"/>
        <w:gridCol w:w="109"/>
        <w:gridCol w:w="109"/>
        <w:gridCol w:w="211"/>
        <w:gridCol w:w="976"/>
        <w:gridCol w:w="109"/>
        <w:gridCol w:w="109"/>
        <w:gridCol w:w="109"/>
        <w:gridCol w:w="109"/>
        <w:gridCol w:w="211"/>
        <w:gridCol w:w="976"/>
        <w:gridCol w:w="154"/>
      </w:tblGrid>
      <w:tr>
        <w:trPr/>
        <w:tc>
          <w:tcPr>
            <w:tcW w:w="728"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(thousands of U.S. dollars)</w:t>
            </w:r>
          </w:p>
        </w:tc>
        <w:tc>
          <w:tcPr>
            <w:tcW w:w="13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u w:val="single"/>
              </w:rPr>
            </w:pPr>
            <w:r>
              <w:rPr>
                <w:rFonts w:ascii="Times New Roman;serif" w:hAnsi="Times New Roman;serif"/>
                <w:b/>
                <w:color w:val="000000"/>
                <w:sz w:val="16"/>
                <w:u w:val="single"/>
              </w:rPr>
              <w:t>Year Ended December 31,</w:t>
            </w:r>
          </w:p>
        </w:tc>
        <w:tc>
          <w:tcPr>
            <w:tcW w:w="13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629,543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616,684 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590,967 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Canada</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221,948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208,886 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192,050 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Europe</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232,179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196,011 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187,542 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79,947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78,860 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color w:val="000000"/>
                <w:sz w:val="20"/>
              </w:rPr>
            </w:pPr>
            <w:r>
              <w:rPr>
                <w:rFonts w:ascii="Times New Roman;serif" w:hAnsi="Times New Roman;serif"/>
                <w:b/>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1,163,617</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1,100,441 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1,049,288 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‘Other’ category above is primarily comprised of net revenues from Asian and Latin American countries that individually represent 2% or less of our total net revenues.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Long-lived assets are based on physical locations and are comprised of the net book value of property, plant, and equipment. </w:t>
      </w:r>
    </w:p>
    <w:tbl>
      <w:tblPr>
        <w:tblW w:w="4974" w:type="dxa"/>
        <w:jc w:val="left"/>
        <w:tblInd w:w="0" w:type="dxa"/>
        <w:tblLayout w:type="fixed"/>
        <w:tblCellMar>
          <w:top w:w="28" w:type="dxa"/>
          <w:left w:w="28" w:type="dxa"/>
          <w:bottom w:w="28" w:type="dxa"/>
          <w:right w:w="28" w:type="dxa"/>
        </w:tblCellMar>
      </w:tblPr>
      <w:tblGrid>
        <w:gridCol w:w="723"/>
        <w:gridCol w:w="635"/>
        <w:gridCol w:w="637"/>
        <w:gridCol w:w="211"/>
        <w:gridCol w:w="991"/>
        <w:gridCol w:w="109"/>
        <w:gridCol w:w="109"/>
        <w:gridCol w:w="109"/>
        <w:gridCol w:w="109"/>
        <w:gridCol w:w="211"/>
        <w:gridCol w:w="976"/>
        <w:gridCol w:w="154"/>
      </w:tblGrid>
      <w:tr>
        <w:trPr/>
        <w:tc>
          <w:tcPr>
            <w:tcW w:w="723"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(thousands of U.S. dollars)</w:t>
            </w:r>
          </w:p>
        </w:tc>
        <w:tc>
          <w:tcPr>
            <w:tcW w:w="13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9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u w:val="single"/>
              </w:rPr>
            </w:pPr>
            <w:r>
              <w:rPr>
                <w:rFonts w:ascii="Times New Roman;serif" w:hAnsi="Times New Roman;serif"/>
                <w:b/>
                <w:color w:val="000000"/>
                <w:sz w:val="16"/>
                <w:u w:val="single"/>
              </w:rPr>
              <w:t>As of December 31,</w:t>
            </w:r>
          </w:p>
        </w:tc>
        <w:tc>
          <w:tcPr>
            <w:tcW w:w="13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620,410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587,707 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Canada</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212,350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188,498 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Europe</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204,453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174,227 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93,351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86,460 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color w:val="000000"/>
                <w:sz w:val="20"/>
              </w:rPr>
            </w:pPr>
            <w:r>
              <w:rPr>
                <w:rFonts w:ascii="Times New Roman;serif" w:hAnsi="Times New Roman;serif"/>
                <w:b/>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1,130,564</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1,036,892 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‘Other’ category above is primarily comprised of long-lived assets in Asian and Latin American countries that individually represent 3% or less of our total long-lived assets.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685"/>
                <wp:effectExtent l="0" t="0" r="0" b="0"/>
                <wp:wrapNone/>
                <wp:docPr id="111" name="Frame10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109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109</w:t>
                      </w:r>
                    </w:p>
                  </w:txbxContent>
                </v:textbox>
                <w10:wrap type="none"/>
              </v:rect>
            </w:pict>
          </mc:Fallback>
        </mc:AlternateContent>
      </w:r>
    </w:p>
    <w:p>
      <w:pPr>
        <w:pStyle w:val="TextBody"/>
        <w:bidi w:val="0"/>
        <w:spacing w:lineRule="auto" w:line="333" w:before="0" w:after="0"/>
        <w:jc w:val="left"/>
        <w:rPr/>
      </w:pPr>
      <w:hyperlink w:anchor="i27c953b2e3004595bc062f37867a09bd_7">
        <w:r>
          <w:rPr>
            <w:rStyle w:val="InternetLink"/>
            <w:rFonts w:ascii="Times New Roman;serif" w:hAnsi="Times New Roman;serif"/>
            <w:b w:val="false"/>
            <w:color w:val="0000FF"/>
            <w:sz w:val="16"/>
            <w:u w:val="single"/>
          </w:rPr>
          <w:t>Table of Contents</w:t>
        </w:r>
      </w:hyperlink>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Sotera Health Company</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Schedule II – Valuation and Qualifying Accounts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thousands)</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1312"/>
        <w:gridCol w:w="1124"/>
        <w:gridCol w:w="1138"/>
        <w:gridCol w:w="230"/>
        <w:gridCol w:w="671"/>
        <w:gridCol w:w="120"/>
        <w:gridCol w:w="109"/>
        <w:gridCol w:w="109"/>
        <w:gridCol w:w="109"/>
        <w:gridCol w:w="211"/>
        <w:gridCol w:w="616"/>
        <w:gridCol w:w="109"/>
        <w:gridCol w:w="109"/>
        <w:gridCol w:w="109"/>
        <w:gridCol w:w="109"/>
        <w:gridCol w:w="212"/>
        <w:gridCol w:w="686"/>
        <w:gridCol w:w="109"/>
        <w:gridCol w:w="109"/>
        <w:gridCol w:w="109"/>
        <w:gridCol w:w="109"/>
        <w:gridCol w:w="291"/>
        <w:gridCol w:w="667"/>
        <w:gridCol w:w="152"/>
        <w:gridCol w:w="109"/>
        <w:gridCol w:w="109"/>
        <w:gridCol w:w="109"/>
        <w:gridCol w:w="267"/>
        <w:gridCol w:w="782"/>
        <w:gridCol w:w="200"/>
      </w:tblGrid>
      <w:tr>
        <w:trPr/>
        <w:tc>
          <w:tcPr>
            <w:tcW w:w="1312"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357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u w:val="single"/>
              </w:rPr>
            </w:pPr>
            <w:r>
              <w:rPr>
                <w:rFonts w:ascii="Times New Roman;serif" w:hAnsi="Times New Roman;serif"/>
                <w:b/>
                <w:color w:val="000000"/>
                <w:sz w:val="16"/>
                <w:u w:val="single"/>
              </w:rPr>
              <w:t>Description</w:t>
            </w:r>
          </w:p>
        </w:tc>
        <w:tc>
          <w:tcPr>
            <w:tcW w:w="102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Balance at</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Beginning of</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Charges</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(credits) to</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costs and</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Deductions</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Translation</w:t>
            </w:r>
          </w:p>
          <w:p>
            <w:pPr>
              <w:pStyle w:val="TableContents"/>
              <w:bidi w:val="0"/>
              <w:spacing w:lineRule="auto" w:line="240" w:before="0" w:after="0"/>
              <w:jc w:val="center"/>
              <w:rPr/>
            </w:pPr>
            <w:r>
              <w:rPr>
                <w:rFonts w:ascii="Times New Roman;serif" w:hAnsi="Times New Roman;serif"/>
                <w:b/>
                <w:color w:val="000000"/>
                <w:sz w:val="16"/>
              </w:rPr>
              <w:t>Adjustments</w:t>
            </w:r>
            <w:r>
              <w:rPr>
                <w:rFonts w:ascii="Times New Roman;serif" w:hAnsi="Times New Roman;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Balance at End</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of Period</w:t>
            </w:r>
          </w:p>
        </w:tc>
      </w:tr>
      <w:tr>
        <w:trPr/>
        <w:tc>
          <w:tcPr>
            <w:tcW w:w="3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Year Ended December 31, 2025</w:t>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Deducted from asset accounts:</w:t>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3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uncollectible accounts receivable</w:t>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2,968 </w:t>
            </w:r>
          </w:p>
        </w:tc>
        <w:tc>
          <w:tcPr>
            <w:tcW w:w="200"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3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 valuation allowance</w:t>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160,595 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172,294 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Year Ended December 31, 2024</w:t>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Deducted from asset accounts:</w:t>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3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uncollectible accounts receivable</w:t>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4,689 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2,532 </w:t>
            </w:r>
          </w:p>
        </w:tc>
        <w:tc>
          <w:tcPr>
            <w:tcW w:w="200"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3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 valuation allowance</w:t>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125,435 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160,595 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Year Ended December 31, 2023</w:t>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Deducted from asset accounts:</w:t>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3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uncollectible accounts receivable</w:t>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4,689 </w:t>
            </w:r>
          </w:p>
        </w:tc>
        <w:tc>
          <w:tcPr>
            <w:tcW w:w="200"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3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 valuation allowance</w:t>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105,600 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125,435 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540"/>
        <w:jc w:val="left"/>
        <w:rPr>
          <w:rFonts w:ascii="Times New Roman;serif" w:hAnsi="Times New Roman;serif"/>
          <w:b w:val="false"/>
          <w:i/>
          <w:color w:val="000000"/>
          <w:sz w:val="16"/>
        </w:rPr>
      </w:pPr>
      <w:r>
        <w:rPr>
          <w:rFonts w:ascii="Times New Roman;serif" w:hAnsi="Times New Roman;serif"/>
          <w:b w:val="false"/>
          <w:i/>
          <w:color w:val="000000"/>
          <w:sz w:val="16"/>
        </w:rPr>
        <w:t xml:space="preserve">(1)Uncollectible accounts written off, net of recoveries. </w:t>
      </w:r>
    </w:p>
    <w:p>
      <w:pPr>
        <w:pStyle w:val="TextBody"/>
        <w:bidi w:val="0"/>
        <w:spacing w:lineRule="auto" w:line="288" w:before="0" w:after="0"/>
        <w:ind w:left="0" w:right="0" w:hanging="540"/>
        <w:jc w:val="left"/>
        <w:rPr>
          <w:rFonts w:ascii="Times New Roman;serif" w:hAnsi="Times New Roman;serif"/>
          <w:b w:val="false"/>
          <w:i/>
          <w:color w:val="000000"/>
          <w:sz w:val="16"/>
        </w:rPr>
      </w:pPr>
      <w:r>
        <w:rPr>
          <w:rFonts w:ascii="Times New Roman;serif" w:hAnsi="Times New Roman;serif"/>
          <w:b w:val="false"/>
          <w:i/>
          <w:color w:val="000000"/>
          <w:sz w:val="16"/>
        </w:rPr>
        <w:t xml:space="preserve">(2)Change in foreign currency exchange rates.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9. Changes in and Disagreements With Accountants on Accounting and Financial Disclosure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9A. Controls and Procedures</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Our management, with the participation of our Chief Executive Officer and Chief Financial Officer, has evaluated the effectiveness of the Company’s “disclosure controls and procedures” (as defined in Rules 13a-15(e) and 15d-15(e) under the Exchange Act). Based upon their evaluation, the Chief Executive Officer and Chief Financial Officer concluded that, as of the end of the period covered by this Annual Report on Form 10-K, our disclosure controls and procedures were effective to provide reasonable assurance that information we are required to disclose in reports that we file or submit under the Exchange Act is recorded, processed, summarized, and reported within the time periods specified in the rules and forms of the SEC, and that such information is accumulated and communicated to our management, including our Chief Executive Officer and Chief Financial Officer, as appropriate, to allow timely decisions regarding required disclosure.</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Management’s Annual Report on Internal Control Over Financial Reporting</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management of the Company is responsible for establishing and maintaining adequate internal control over financial reporting as defined in Exchange Act Rule 13a-15(f). Using criteria set forth by the Committee of Sponsoring Organizations of the Treadway Commission (2013 framework) in Internal Control-Integrated Framework, the Company’s management assessed the effectiveness of the Company’s internal control over financial reporting as of December 31, 2025. Based on this assessment, management concluded that the Company’s internal control over financial reporting was effective as of December 31, 2025.</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effectiveness of the Company’s internal control over financial reporting as of December 31, 2025 has been audited by Ernst &amp; Young LLP, an independent registered public accounting firm, as stated in their report, which is included in this Annual Report on Form 10-K and is included in this Item 9A below.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6685"/>
                <wp:effectExtent l="0" t="0" r="0" b="0"/>
                <wp:wrapNone/>
                <wp:docPr id="112" name="Frame1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During the fourth quarter of 2025, there were no changes in our internal control over financial reporting that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46685"/>
                <wp:effectExtent l="0" t="0" r="0" b="0"/>
                <wp:wrapNone/>
                <wp:docPr id="113" name="Frame1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480" w:after="283"/>
        <w:jc w:val="left"/>
        <w:rPr>
          <w:rFonts w:ascii="Times New Roman;serif" w:hAnsi="Times New Roman;serif"/>
          <w:b/>
          <w:color w:val="000000"/>
          <w:sz w:val="20"/>
        </w:rPr>
      </w:pPr>
      <w:r>
        <w:rPr>
          <w:rFonts w:ascii="Times New Roman;serif" w:hAnsi="Times New Roman;serif"/>
          <w:b/>
          <w:color w:val="000000"/>
          <w:sz w:val="20"/>
        </w:rPr>
        <w:t>REPORT OF INDEPENDENT REGISTERED PUBLIC ACCOUNTING FIRM</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To the Stockholders and the Board of Directors of Sotera Health Company</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 xml:space="preserve">Opinion on Internal Control Over Financial Reporting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have audited Sotera Health Company’s internal control over financial reporting as of December 31, 2025, based on criteria established in Internal Control—Integrated Framework issued by the Committee of Sponsoring Organizations of the Treadway Commission (2013 framework) (the COSO criteria). In our opinion, Sotera Health Company (the Company) maintained, in all material respects, effective internal control over financial reporting as of December 31, 2025, based on the COSO criteria.</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also have audited, in accordance with the standards of the Public Company Accounting Oversight Board (United States) (PCAOB), the 2025 consolidated financial statements of the Company and our report dated February 24, 2026 expressed an unqualified opinion thereon.</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Basis for Opinion</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 xml:space="preserve">Definition and Limitations of Internal Control Over Financial Reporting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0"/>
        <w:jc w:val="left"/>
        <w:rPr/>
      </w:pPr>
      <w:r>
        <w:rPr/>
      </w:r>
    </w:p>
    <w:p>
      <w:pPr>
        <w:pStyle w:val="TextBody"/>
        <w:bidi w:val="0"/>
        <w:spacing w:before="200" w:after="283"/>
        <w:jc w:val="left"/>
        <w:rPr/>
      </w:pPr>
      <w:r>
        <w:rPr/>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/s/ Ernst &amp; Young LLP</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Cleveland, Ohio</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February 24,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46685"/>
                <wp:effectExtent l="0" t="0" r="0" b="0"/>
                <wp:wrapNone/>
                <wp:docPr id="114" name="Frame1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112</w:t>
                      </w:r>
                    </w:p>
                  </w:txbxContent>
                </v:textbox>
                <w10:wrap type="none"/>
              </v:rect>
            </w:pict>
          </mc:Fallback>
        </mc:AlternateContent>
      </w:r>
    </w:p>
    <w:p>
      <w:pPr>
        <w:pStyle w:val="TextBody"/>
        <w:bidi w:val="0"/>
        <w:spacing w:lineRule="auto" w:line="333" w:before="0" w:after="0"/>
        <w:jc w:val="left"/>
        <w:rPr/>
      </w:pPr>
      <w:hyperlink w:anchor="i27c953b2e3004595bc062f37867a09bd_7">
        <w:r>
          <w:rPr>
            <w:rStyle w:val="InternetLink"/>
            <w:rFonts w:ascii="Times New Roman;serif" w:hAnsi="Times New Roman;serif"/>
            <w:b w:val="false"/>
            <w:color w:val="0000FF"/>
            <w:sz w:val="16"/>
            <w:u w:val="single"/>
          </w:rPr>
          <w:t>Table of Contents</w:t>
        </w:r>
      </w:hyperlink>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9B. Other Information</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Rule 10b5-1 Trading Plans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December 31, 2025, none of the Company’s directors or officers (as defined in Rule 16a-1(f) under the Exchange Act) adopted or terminated any contract, instruction or written plan for the purchase or sale of Company securities that was intended to satisfy the affirmative defense conditions of Rule 10b5-1(c) or any “non-Rule 10b5-1 trading arrangement” (as that term is defined in Regulation S-K, Item 408).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9C. Disclosure Regarding Foreign Jurisdictions that Prevent Inspections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46685"/>
                <wp:effectExtent l="0" t="0" r="0" b="0"/>
                <wp:wrapNone/>
                <wp:docPr id="115" name="Frame1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113</w:t>
                      </w:r>
                    </w:p>
                  </w:txbxContent>
                </v:textbox>
                <w10:wrap type="none"/>
              </v:rect>
            </w:pict>
          </mc:Fallback>
        </mc:AlternateContent>
      </w:r>
    </w:p>
    <w:p>
      <w:pPr>
        <w:pStyle w:val="TextBody"/>
        <w:bidi w:val="0"/>
        <w:spacing w:lineRule="auto" w:line="333" w:before="0" w:after="0"/>
        <w:jc w:val="left"/>
        <w:rPr/>
      </w:pPr>
      <w:hyperlink w:anchor="i27c953b2e3004595bc062f37867a09bd_7">
        <w:r>
          <w:rPr>
            <w:rStyle w:val="InternetLink"/>
            <w:rFonts w:ascii="Times New Roman;serif" w:hAnsi="Times New Roman;serif"/>
            <w:b w:val="false"/>
            <w:color w:val="0000FF"/>
            <w:sz w:val="16"/>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Part 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10. Directors, Executive Officers and Corporate Governance</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Certain information required by this Item is incorporated by reference to the sections titled “Board Composition, Nominations Process and Director Qualifications,” “Proposal One: Election of Director Nominees,” “Corporate Governance” and “Insider Trading Policy” to be included in our Definitive Proxy Statement for the 2026 Annual Meeting of Stockholders, which will be filed with the SEC within 120 days after the fiscal year ended December 31, 2025.</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sets forth information about our executive officers as of February 19, 2026: </w:t>
      </w:r>
    </w:p>
    <w:tbl>
      <w:tblPr>
        <w:tblW w:w="6868" w:type="dxa"/>
        <w:jc w:val="left"/>
        <w:tblInd w:w="0" w:type="dxa"/>
        <w:tblLayout w:type="fixed"/>
        <w:tblCellMar>
          <w:top w:w="28" w:type="dxa"/>
          <w:left w:w="28" w:type="dxa"/>
          <w:bottom w:w="28" w:type="dxa"/>
          <w:right w:w="28" w:type="dxa"/>
        </w:tblCellMar>
      </w:tblPr>
      <w:tblGrid>
        <w:gridCol w:w="831"/>
        <w:gridCol w:w="730"/>
        <w:gridCol w:w="734"/>
        <w:gridCol w:w="144"/>
        <w:gridCol w:w="144"/>
        <w:gridCol w:w="146"/>
        <w:gridCol w:w="1208"/>
        <w:gridCol w:w="1208"/>
        <w:gridCol w:w="1723"/>
      </w:tblGrid>
      <w:tr>
        <w:trPr/>
        <w:tc>
          <w:tcPr>
            <w:tcW w:w="831"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1723" w:type="dxa"/>
            <w:tcBorders/>
            <w:vAlign w:val="center"/>
          </w:tcPr>
          <w:p>
            <w:pPr>
              <w:pStyle w:val="TableContents"/>
              <w:bidi w:val="0"/>
              <w:spacing w:before="0" w:after="283"/>
              <w:jc w:val="left"/>
              <w:rPr>
                <w:sz w:val="4"/>
                <w:szCs w:val="4"/>
              </w:rPr>
            </w:pPr>
            <w:r>
              <w:rPr>
                <w:sz w:val="4"/>
                <w:szCs w:val="4"/>
              </w:rPr>
            </w:r>
          </w:p>
        </w:tc>
      </w:tr>
      <w:tr>
        <w:trPr/>
        <w:tc>
          <w:tcPr>
            <w:tcW w:w="229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6"/>
                <w:u w:val="single"/>
              </w:rPr>
            </w:pPr>
            <w:r>
              <w:rPr>
                <w:rFonts w:ascii="Times New Roman;serif" w:hAnsi="Times New Roman;serif"/>
                <w:b/>
                <w:color w:val="000000"/>
                <w:sz w:val="16"/>
                <w:u w:val="single"/>
              </w:rPr>
              <w:t>Name</w:t>
            </w:r>
          </w:p>
        </w:tc>
        <w:tc>
          <w:tcPr>
            <w:tcW w:w="43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u w:val="single"/>
              </w:rPr>
            </w:pPr>
            <w:r>
              <w:rPr>
                <w:rFonts w:ascii="Times New Roman;serif" w:hAnsi="Times New Roman;serif"/>
                <w:b/>
                <w:color w:val="000000"/>
                <w:sz w:val="16"/>
                <w:u w:val="single"/>
              </w:rPr>
              <w:t xml:space="preserve">Age </w:t>
            </w:r>
          </w:p>
        </w:tc>
        <w:tc>
          <w:tcPr>
            <w:tcW w:w="413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6"/>
                <w:u w:val="single"/>
              </w:rPr>
            </w:pPr>
            <w:r>
              <w:rPr>
                <w:rFonts w:ascii="Times New Roman;serif" w:hAnsi="Times New Roman;serif"/>
                <w:b/>
                <w:color w:val="000000"/>
                <w:sz w:val="16"/>
                <w:u w:val="single"/>
              </w:rPr>
              <w:t>Position</w:t>
            </w:r>
          </w:p>
        </w:tc>
      </w:tr>
      <w:tr>
        <w:trPr/>
        <w:tc>
          <w:tcPr>
            <w:tcW w:w="2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Michael B. Petras, Jr.</w:t>
            </w:r>
          </w:p>
        </w:tc>
        <w:tc>
          <w:tcPr>
            <w:tcW w:w="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58</w:t>
            </w:r>
          </w:p>
        </w:tc>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Chairman and Chief Executive Officer</w:t>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Jonathan (Jon) Lyons</w:t>
            </w:r>
          </w:p>
        </w:tc>
        <w:tc>
          <w:tcPr>
            <w:tcW w:w="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48</w:t>
            </w:r>
          </w:p>
        </w:tc>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Senior Vice President and Chief Financial Officer</w:t>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Michael (Mike) P. Rutz</w:t>
            </w:r>
          </w:p>
        </w:tc>
        <w:tc>
          <w:tcPr>
            <w:tcW w:w="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54</w:t>
            </w:r>
          </w:p>
        </w:tc>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of Sterigenics</w:t>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Alexander (Alex) Dimitrief</w:t>
            </w:r>
          </w:p>
        </w:tc>
        <w:tc>
          <w:tcPr>
            <w:tcW w:w="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67</w:t>
            </w:r>
          </w:p>
        </w:tc>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Senior Vice President and General Counsel</w:t>
            </w:r>
          </w:p>
        </w:tc>
      </w:tr>
    </w:tbl>
    <w:p>
      <w:pPr>
        <w:pStyle w:val="TextBody"/>
        <w:bidi w:val="0"/>
        <w:spacing w:lineRule="auto" w:line="288" w:before="140" w:after="283"/>
        <w:jc w:val="left"/>
        <w:rPr>
          <w:rFonts w:ascii="Times New Roman;serif" w:hAnsi="Times New Roman;serif"/>
          <w:b w:val="false"/>
          <w:color w:val="000000"/>
          <w:sz w:val="20"/>
        </w:rPr>
      </w:pPr>
      <w:r>
        <w:rPr>
          <w:rFonts w:ascii="Times New Roman;serif" w:hAnsi="Times New Roman;serif"/>
          <w:b w:val="false"/>
          <w:color w:val="000000"/>
          <w:sz w:val="20"/>
        </w:rPr>
        <w:t>Set forth below is a brief description of the business experience of our executive officers.</w:t>
      </w:r>
    </w:p>
    <w:p>
      <w:pPr>
        <w:pStyle w:val="TextBody"/>
        <w:bidi w:val="0"/>
        <w:spacing w:lineRule="auto" w:line="288" w:before="200" w:after="283"/>
        <w:jc w:val="left"/>
        <w:rPr/>
      </w:pPr>
      <w:r>
        <w:rPr>
          <w:rFonts w:ascii="Times New Roman;serif" w:hAnsi="Times New Roman;serif"/>
          <w:b w:val="false"/>
          <w:i/>
          <w:color w:val="000000"/>
          <w:sz w:val="20"/>
        </w:rPr>
        <w:t xml:space="preserve">Michael B. Petras, Jr. </w:t>
      </w:r>
      <w:r>
        <w:rPr>
          <w:rFonts w:ascii="Times New Roman;serif" w:hAnsi="Times New Roman;serif"/>
          <w:b w:val="false"/>
          <w:color w:val="000000"/>
          <w:sz w:val="20"/>
        </w:rPr>
        <w:t xml:space="preserve">has served as our Chief Executive Officer since June 2016 and as the Chairman of our board of directors since October 2020. Mr. Petras also served as a member of Topco Parent’s board of managers from June 2016 to November 2020 and served as the Chairman of Topco Parent’s board of managers from January 2019 to November 2020. Prior to joining the Company, Mr. Petras served as chief executive officer of Post-Acute Solutions at Cardinal Health, Inc. (“Cardinal Health”), a multinational healthcare services company, from 2015 to 2016 and chief executive officer of Cardinal Health at-Home from 2013 to 2015. From 2011 to 2013, he was the chief executive officer for AssuraMed Holdings, Inc., a medical products supplier, which was sold to Cardinal Health in 2013. From 2008 to 2011, Mr. Petras was president and chief executive officer at GE Lighting, a General Electric Company (“GE”) business unit. During his over 20-year career at GE, he held several management positions in multiple disciplines. Mr. Petras was named to the board of directors of the Cleveland Clinic in 2016 and elected Vice Chair of the board of directors in 2020. Mr. Petras also serves on the board of directors of John Carroll University. Mr. Petras holds a B.S.B.A. in finance from John Carroll University and an M.B.A. in marketing from Case Western Reserve University. </w:t>
      </w:r>
    </w:p>
    <w:p>
      <w:pPr>
        <w:pStyle w:val="TextBody"/>
        <w:bidi w:val="0"/>
        <w:spacing w:lineRule="auto" w:line="288" w:before="200" w:after="283"/>
        <w:jc w:val="left"/>
        <w:rPr/>
      </w:pPr>
      <w:r>
        <w:rPr>
          <w:rFonts w:ascii="Times New Roman;serif" w:hAnsi="Times New Roman;serif"/>
          <w:b w:val="false"/>
          <w:i/>
          <w:color w:val="000000"/>
          <w:sz w:val="20"/>
        </w:rPr>
        <w:t>Jonathan (Jon) M. Lyons</w:t>
      </w:r>
      <w:r>
        <w:rPr>
          <w:color w:val="000000"/>
        </w:rPr>
        <w:t xml:space="preserve"> </w:t>
      </w:r>
      <w:r>
        <w:rPr>
          <w:rFonts w:ascii="Times New Roman;serif" w:hAnsi="Times New Roman;serif"/>
          <w:b w:val="false"/>
          <w:color w:val="000000"/>
          <w:sz w:val="20"/>
        </w:rPr>
        <w:t>has served as our Senior Vice President and Chief Financial Officer since June 2023. Prior to joining the Company, Mr. Lyons served as vice president, corporate FP&amp;A of Owens Corning, a global leader specializing in building and construction materials, from June 2021 to June 2023 and vice president, finance of the insulation segment from October 2018 to May 2021. Mr. Lyons joined Owens Corning in 2010 as assistant treasurer and also served as treasurer from 2011 to 2014. Mr. Lyons also spent eight years with Cardinal Health, Inc., holding several senior leadership roles in treasury, FP&amp;A, investor relations and tax after beginning his career in public accounting. Mr. Lyons holds an M.B.A. from The Ohio State University and a B.S. in Accounting from Kent State University.</w:t>
      </w:r>
    </w:p>
    <w:p>
      <w:pPr>
        <w:pStyle w:val="TextBody"/>
        <w:bidi w:val="0"/>
        <w:spacing w:lineRule="auto" w:line="288" w:before="200" w:after="283"/>
        <w:jc w:val="left"/>
        <w:rPr/>
      </w:pPr>
      <w:r>
        <w:rPr>
          <w:rFonts w:ascii="Times New Roman;serif" w:hAnsi="Times New Roman;serif"/>
          <w:b w:val="false"/>
          <w:i/>
          <w:color w:val="000000"/>
          <w:sz w:val="20"/>
        </w:rPr>
        <w:t>Michael (Mike) P. Rutz</w:t>
      </w:r>
      <w:r>
        <w:rPr>
          <w:color w:val="000000"/>
        </w:rPr>
        <w:t xml:space="preserve"> </w:t>
      </w:r>
      <w:r>
        <w:rPr>
          <w:rFonts w:ascii="Times New Roman;serif" w:hAnsi="Times New Roman;serif"/>
          <w:b w:val="false"/>
          <w:color w:val="000000"/>
          <w:sz w:val="20"/>
        </w:rPr>
        <w:t>has served as President of Sterigenics since October 2020. Prior to that, Mr. Rutz was Chief Operating Officer of Sterigenics from May 2020 to October 2020. Prior to joining the Company, he was senior vice president and general manager of the Semiconductor Business Unit at Littelfuse, Inc. (“Littelfuse”), a multinational electronic manufacturing company, where he was responsible for leading sales, marketing, product development, operations and business development for power and protection-based semiconductor products. Mr. Rutz joined Littelfuse in 2014 as senior vice president of global operations, overseeing the company’s manufacturing, procurement, planning, quality, and operational excellence initiatives. Prior to joining Littelfuse, Mr. Rutz served as senior vice president global supply chain at WMS Gaming, a Chicago-based manufacturer of equipment and software for the gaming industry. Mr. Rutz also spent 16 years with Motorola Solutions, Inc., a telecommunications company, in the paging, cellular and networking groups, most recently as vice president, networks supply chain. Mr. Rutz holds a Bachelor’s degree in Mechanical Engineering from the University of Michigan and Master’s degrees in Mechanical Engineering and Management from the Massachusetts Institute of Technology.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46685"/>
                <wp:effectExtent l="0" t="0" r="0" b="0"/>
                <wp:wrapNone/>
                <wp:docPr id="116" name="Frame1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114</w:t>
                      </w:r>
                    </w:p>
                  </w:txbxContent>
                </v:textbox>
                <w10:wrap type="none"/>
              </v:rect>
            </w:pict>
          </mc:Fallback>
        </mc:AlternateContent>
      </w:r>
    </w:p>
    <w:p>
      <w:pPr>
        <w:pStyle w:val="TextBody"/>
        <w:bidi w:val="0"/>
        <w:spacing w:lineRule="auto" w:line="333" w:before="0" w:after="0"/>
        <w:jc w:val="left"/>
        <w:rPr/>
      </w:pPr>
      <w:hyperlink w:anchor="i27c953b2e3004595bc062f37867a09bd_7">
        <w:r>
          <w:rPr>
            <w:rStyle w:val="InternetLink"/>
            <w:rFonts w:ascii="Times New Roman;serif" w:hAnsi="Times New Roman;serif"/>
            <w:b w:val="false"/>
            <w:color w:val="0000FF"/>
            <w:sz w:val="16"/>
            <w:u w:val="single"/>
          </w:rPr>
          <w:t>Table of Contents</w:t>
        </w:r>
      </w:hyperlink>
    </w:p>
    <w:p>
      <w:pPr>
        <w:pStyle w:val="TextBody"/>
        <w:bidi w:val="0"/>
        <w:spacing w:lineRule="auto" w:line="288" w:before="200" w:after="283"/>
        <w:jc w:val="left"/>
        <w:rPr/>
      </w:pPr>
      <w:r>
        <w:rPr>
          <w:rFonts w:ascii="Times New Roman;serif" w:hAnsi="Times New Roman;serif"/>
          <w:b w:val="false"/>
          <w:i/>
          <w:color w:val="000000"/>
          <w:sz w:val="20"/>
        </w:rPr>
        <w:t xml:space="preserve">Alexander (Alex) Dimitrief </w:t>
      </w:r>
      <w:r>
        <w:rPr>
          <w:rFonts w:ascii="Times New Roman;serif" w:hAnsi="Times New Roman;serif"/>
          <w:b w:val="false"/>
          <w:color w:val="000000"/>
          <w:sz w:val="20"/>
        </w:rPr>
        <w:t>has served as our Senior Vice President and General Counsel since November 2022 and served as Secretary from November 2022 to December 2024. Prior to joining the Company, from February 2020 to October 2022, he was a partner at Zeughauser Group, a legal management consulting firm, where he remains as an advisor. Mr. Dimitrief is also an independent director of Eos Energy Enterprises, Global Chair of Ronald McDonald House and an advisor to Earlylands Advisory. He was a senior fellow and distinguished adjunct professor at New York Law School from August 2020 to December 2022 and a lecturer on law at Harvard Law School from September 2019 to December 2022. Mr. Dimitrief previously served in a variety of leadership roles at GE. He was president and chief executive officer of GE’s Global Growth Organization from late 2017 until his retirement from GE in January 2019. He previously served as GE’s senior vice president and general counsel from 2015 to 2018 and held other senior legal roles at GE beginning in 2007. Prior to joining GE, Mr. Dimitrief was a partner at Kirkland &amp; Ellis LLP, where he practiced law for twenty years. Mr. Dimitrief holds a B.A. in Economics and Political Science from Yale College and a J.D. from Harvard Law School.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11. Executive Compensation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information required by this Item is incorporated by reference to the sections titled “Non-Employee Director Compensation,” “Compensation Discussion and Analysis,” “Compensation Tables,” “Potential Termination Payments” and “CEO Pay Ratio” to be included in our Definitive Proxy Statement for the 2026 Annual Meeting of Stockholders, which will be filed with the SEC within 120 days after the fiscal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12. Security Ownership of Certain Beneficial Owners and Management and Related Stockholder Matters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information required by this Item is incorporated by reference to the sections titled “Security Ownership of Certain Beneficial Owners and Management” and “Equity Compensation Plan Information” to be included in our Definitive Proxy Statement for the 2026 Annual Meeting of Stockholders, which will be filed with the SEC within 120 days after the fiscal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13. Certain Relationships and Related Transactions, and Director Independence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information required by this Item is incorporated by reference to the sections titled “Director Independence” and “Certain Relationships and Related Party Transactions” to be included in our Definitive Proxy Statement for the 2026 Annual Meeting of Stockholders, which will be filed with the SEC within 120 days after the fiscal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14. Principal Accountant Fees and Services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information required by this Item is incorporated by reference to the sections titled “Independent Registered Public Accounting Firm Fees” and “Policy on Audit Committee’s Pre-Approval of Audit and Permissible Non-Audit Services of Independent Registered Public Accounting Firm” to be included in our Definitive Proxy Statement for the 2026 Annual Meeting of Stockholders, which will be filed with the SEC within 120 days after the fiscal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46685"/>
                <wp:effectExtent l="0" t="0" r="0" b="0"/>
                <wp:wrapNone/>
                <wp:docPr id="117" name="Frame1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115</w:t>
                      </w:r>
                    </w:p>
                  </w:txbxContent>
                </v:textbox>
                <w10:wrap type="none"/>
              </v:rect>
            </w:pict>
          </mc:Fallback>
        </mc:AlternateContent>
      </w:r>
    </w:p>
    <w:p>
      <w:pPr>
        <w:pStyle w:val="TextBody"/>
        <w:bidi w:val="0"/>
        <w:spacing w:lineRule="auto" w:line="333" w:before="0" w:after="0"/>
        <w:jc w:val="left"/>
        <w:rPr/>
      </w:pPr>
      <w:hyperlink w:anchor="i27c953b2e3004595bc062f37867a09bd_7">
        <w:r>
          <w:rPr>
            <w:rStyle w:val="InternetLink"/>
            <w:rFonts w:ascii="Times New Roman;serif" w:hAnsi="Times New Roman;serif"/>
            <w:b w:val="false"/>
            <w:color w:val="0000FF"/>
            <w:sz w:val="16"/>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Part 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15. Exhibits and Financial Statement Schedules</w:t>
      </w:r>
    </w:p>
    <w:p>
      <w:pPr>
        <w:pStyle w:val="TextBody"/>
        <w:bidi w:val="0"/>
        <w:spacing w:lineRule="auto" w:line="288" w:before="240" w:after="283"/>
        <w:ind w:left="0" w:right="0" w:hanging="360"/>
        <w:jc w:val="left"/>
        <w:rPr>
          <w:rFonts w:ascii="Times New Roman;serif" w:hAnsi="Times New Roman;serif"/>
          <w:b/>
          <w:color w:val="000000"/>
          <w:sz w:val="20"/>
        </w:rPr>
      </w:pPr>
      <w:r>
        <w:rPr>
          <w:rFonts w:ascii="Times New Roman;serif" w:hAnsi="Times New Roman;serif"/>
          <w:b/>
          <w:color w:val="000000"/>
          <w:sz w:val="20"/>
        </w:rPr>
        <w:t>(a)Documents Filed with Report</w:t>
      </w:r>
    </w:p>
    <w:p>
      <w:pPr>
        <w:pStyle w:val="TextBody"/>
        <w:bidi w:val="0"/>
        <w:spacing w:lineRule="auto" w:line="288" w:before="120" w:after="283"/>
        <w:ind w:left="0" w:right="0" w:hanging="360"/>
        <w:jc w:val="left"/>
        <w:rPr>
          <w:rFonts w:ascii="Times New Roman;serif" w:hAnsi="Times New Roman;serif"/>
          <w:b/>
          <w:color w:val="000000"/>
          <w:sz w:val="20"/>
        </w:rPr>
      </w:pPr>
      <w:r>
        <w:rPr>
          <w:rFonts w:ascii="Times New Roman;serif" w:hAnsi="Times New Roman;serif"/>
          <w:b/>
          <w:color w:val="000000"/>
          <w:sz w:val="20"/>
        </w:rPr>
        <w:t>(1)Consolidated Financial Statements</w:t>
      </w:r>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The consolidated financial statements are filed as part of this Annual Report on Form 10-K under Item 8, “Financial Statements and Supplementary Data”</w:t>
      </w:r>
    </w:p>
    <w:p>
      <w:pPr>
        <w:pStyle w:val="TextBody"/>
        <w:bidi w:val="0"/>
        <w:spacing w:lineRule="auto" w:line="288" w:before="120" w:after="283"/>
        <w:ind w:left="0" w:right="0" w:hanging="360"/>
        <w:jc w:val="left"/>
        <w:rPr>
          <w:rFonts w:ascii="Times New Roman;serif" w:hAnsi="Times New Roman;serif"/>
          <w:b/>
          <w:color w:val="000000"/>
          <w:sz w:val="20"/>
        </w:rPr>
      </w:pPr>
      <w:r>
        <w:rPr>
          <w:rFonts w:ascii="Times New Roman;serif" w:hAnsi="Times New Roman;serif"/>
          <w:b/>
          <w:color w:val="000000"/>
          <w:sz w:val="20"/>
        </w:rPr>
        <w:t>(2)Financial Statement Schedules</w:t>
      </w:r>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Schedule II - Valuation and Qualifying Accounts for the years ended December 31, 2025, 2024 and 2023</w:t>
      </w:r>
    </w:p>
    <w:p>
      <w:pPr>
        <w:pStyle w:val="TextBody"/>
        <w:bidi w:val="0"/>
        <w:spacing w:lineRule="auto" w:line="288" w:before="80" w:after="283"/>
        <w:jc w:val="left"/>
        <w:rPr>
          <w:rFonts w:ascii="Times New Roman;serif" w:hAnsi="Times New Roman;serif"/>
          <w:b w:val="false"/>
          <w:color w:val="000000"/>
          <w:sz w:val="20"/>
        </w:rPr>
      </w:pPr>
      <w:r>
        <w:rPr>
          <w:rFonts w:ascii="Times New Roman;serif" w:hAnsi="Times New Roman;serif"/>
          <w:b w:val="false"/>
          <w:color w:val="000000"/>
          <w:sz w:val="20"/>
        </w:rPr>
        <w:t>All other schedules for which provision is made in the applicable accounting regulation of the Securities and Exchange Commission are not required under the related instructions or are inapplicable, and therefore, have been omitted.</w:t>
      </w:r>
    </w:p>
    <w:p>
      <w:pPr>
        <w:pStyle w:val="TextBody"/>
        <w:bidi w:val="0"/>
        <w:spacing w:lineRule="auto" w:line="288" w:before="120" w:after="283"/>
        <w:ind w:left="0" w:right="0" w:hanging="360"/>
        <w:jc w:val="left"/>
        <w:rPr>
          <w:rFonts w:ascii="Times New Roman;serif" w:hAnsi="Times New Roman;serif"/>
          <w:b/>
          <w:color w:val="000000"/>
          <w:sz w:val="20"/>
        </w:rPr>
      </w:pPr>
      <w:r>
        <w:rPr>
          <w:rFonts w:ascii="Times New Roman;serif" w:hAnsi="Times New Roman;serif"/>
          <w:b/>
          <w:color w:val="000000"/>
          <w:sz w:val="20"/>
        </w:rPr>
        <w:t>(3)Exhibits</w:t>
      </w:r>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The exhibits listed in the following Exhibit Index are filed, furnished, or incorporated by reference, as applicable, as part of this Annual Report on Form 10-K.</w:t>
      </w:r>
    </w:p>
    <w:tbl>
      <w:tblPr>
        <w:tblW w:w="10205" w:type="dxa"/>
        <w:jc w:val="left"/>
        <w:tblInd w:w="0" w:type="dxa"/>
        <w:tblLayout w:type="fixed"/>
        <w:tblCellMar>
          <w:top w:w="28" w:type="dxa"/>
          <w:left w:w="28" w:type="dxa"/>
          <w:bottom w:w="28" w:type="dxa"/>
          <w:right w:w="28" w:type="dxa"/>
        </w:tblCellMar>
      </w:tblPr>
      <w:tblGrid>
        <w:gridCol w:w="375"/>
        <w:gridCol w:w="330"/>
        <w:gridCol w:w="331"/>
        <w:gridCol w:w="109"/>
        <w:gridCol w:w="109"/>
        <w:gridCol w:w="109"/>
        <w:gridCol w:w="1445"/>
        <w:gridCol w:w="1334"/>
        <w:gridCol w:w="1339"/>
        <w:gridCol w:w="109"/>
        <w:gridCol w:w="109"/>
        <w:gridCol w:w="109"/>
        <w:gridCol w:w="399"/>
        <w:gridCol w:w="399"/>
        <w:gridCol w:w="401"/>
        <w:gridCol w:w="109"/>
        <w:gridCol w:w="109"/>
        <w:gridCol w:w="109"/>
        <w:gridCol w:w="195"/>
        <w:gridCol w:w="195"/>
        <w:gridCol w:w="196"/>
        <w:gridCol w:w="341"/>
        <w:gridCol w:w="296"/>
        <w:gridCol w:w="166"/>
        <w:gridCol w:w="245"/>
        <w:gridCol w:w="245"/>
        <w:gridCol w:w="246"/>
        <w:gridCol w:w="217"/>
        <w:gridCol w:w="217"/>
        <w:gridCol w:w="312"/>
      </w:tblGrid>
      <w:tr>
        <w:trPr/>
        <w:tc>
          <w:tcPr>
            <w:tcW w:w="375"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c>
          <w:tcPr>
            <w:tcW w:w="1334"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1"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Incorporated by Reference</w:t>
            </w:r>
          </w:p>
        </w:tc>
      </w:tr>
      <w:tr>
        <w:trPr/>
        <w:tc>
          <w:tcPr>
            <w:tcW w:w="10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 of Exhibits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Filed/Furnished Herewith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Form</w:t>
            </w:r>
          </w:p>
        </w:tc>
        <w:tc>
          <w:tcPr>
            <w:tcW w:w="80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File No.</w:t>
            </w:r>
          </w:p>
        </w:tc>
        <w:tc>
          <w:tcPr>
            <w:tcW w:w="7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w:t>
            </w:r>
          </w:p>
        </w:tc>
        <w:tc>
          <w:tcPr>
            <w:tcW w:w="7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Filing Date</w:t>
            </w:r>
          </w:p>
        </w:tc>
      </w:tr>
      <w:tr>
        <w:trPr/>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erif" w:hAnsi="Times New Roman;serif"/>
                  <w:b w:val="false"/>
                  <w:color w:val="0000FF"/>
                  <w:sz w:val="20"/>
                  <w:u w:val="single"/>
                </w:rPr>
                <w:t>Amended and Restated Certificate of Incorporation of the Registrant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10-K</w:t>
            </w:r>
          </w:p>
        </w:tc>
        <w:tc>
          <w:tcPr>
            <w:tcW w:w="8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001-39729</w:t>
            </w:r>
          </w:p>
        </w:tc>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7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2021-03-09</w:t>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erif" w:hAnsi="Times New Roman;serif"/>
                  <w:b w:val="false"/>
                  <w:color w:val="000080"/>
                  <w:sz w:val="20"/>
                  <w:u w:val="single"/>
                </w:rPr>
                <w:t>Certificate of Amendment to the Amended and Restated Certificate of Incorporat</w:t>
              </w:r>
            </w:hyperlink>
            <w:hyperlink r:id="rId6">
              <w:r>
                <w:rPr>
                  <w:rStyle w:val="InternetLink"/>
                  <w:rFonts w:ascii="Times New Roman;serif" w:hAnsi="Times New Roman;serif"/>
                  <w:b w:val="false"/>
                  <w:color w:val="000080"/>
                  <w:sz w:val="20"/>
                  <w:u w:val="single"/>
                </w:rPr>
                <w:t>ion</w:t>
              </w:r>
            </w:hyperlink>
            <w:hyperlink r:id="rId7">
              <w:r>
                <w:rPr>
                  <w:rStyle w:val="InternetLink"/>
                  <w:rFonts w:ascii="Times New Roman;serif" w:hAnsi="Times New Roman;serif"/>
                  <w:b w:val="false"/>
                  <w:color w:val="000080"/>
                  <w:sz w:val="20"/>
                  <w:u w:val="single"/>
                </w:rPr>
                <w:t xml:space="preserve"> of Sotera Health Company, dated May 23, 2024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8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001-39729</w:t>
            </w:r>
          </w:p>
        </w:tc>
        <w:tc>
          <w:tcPr>
            <w:tcW w:w="73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7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2024-05-24</w:t>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erif" w:hAnsi="Times New Roman;serif"/>
                  <w:b w:val="false"/>
                  <w:color w:val="0000FF"/>
                  <w:sz w:val="20"/>
                  <w:u w:val="single"/>
                </w:rPr>
                <w:t>Amended and Restated Bylaws of Sotera Health Company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80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001-39729</w:t>
            </w:r>
          </w:p>
        </w:tc>
        <w:tc>
          <w:tcPr>
            <w:tcW w:w="73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7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2024-11-05</w:t>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Times New Roman;serif" w:hAnsi="Times New Roman;serif"/>
                  <w:b w:val="false"/>
                  <w:color w:val="0000FF"/>
                  <w:sz w:val="20"/>
                  <w:u w:val="single"/>
                </w:rPr>
                <w:t>Description of our Common Stock</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10-K</w:t>
            </w:r>
          </w:p>
        </w:tc>
        <w:tc>
          <w:tcPr>
            <w:tcW w:w="8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001-39729</w:t>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w:t>
            </w:r>
          </w:p>
        </w:tc>
        <w:tc>
          <w:tcPr>
            <w:tcW w:w="7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2021-03-09</w:t>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Times New Roman;serif" w:hAnsi="Times New Roman;serif"/>
                  <w:b w:val="false"/>
                  <w:color w:val="0000FF"/>
                  <w:sz w:val="20"/>
                  <w:u w:val="single"/>
                </w:rPr>
                <w:t>Amended and Restated Registration Rights Agreement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10-K</w:t>
            </w:r>
          </w:p>
        </w:tc>
        <w:tc>
          <w:tcPr>
            <w:tcW w:w="8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001-39729</w:t>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4.2</w:t>
            </w:r>
          </w:p>
        </w:tc>
        <w:tc>
          <w:tcPr>
            <w:tcW w:w="7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2021-03-09</w:t>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1">
              <w:r>
                <w:rPr>
                  <w:rStyle w:val="InternetLink"/>
                  <w:rFonts w:ascii="Times New Roman;serif" w:hAnsi="Times New Roman;serif"/>
                  <w:b w:val="false"/>
                  <w:color w:val="0000FF"/>
                  <w:sz w:val="20"/>
                  <w:u w:val="single"/>
                </w:rPr>
                <w:t>Indenture dated as of May 30, 2024, among Sotera Health Holdings, LLC, as Issuer of the Notes, Sotera Health Company, as Holdings, and the Guarantors party hereto and Wilmington Trust, National Association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80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001-39729</w:t>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w:t>
            </w:r>
          </w:p>
        </w:tc>
        <w:tc>
          <w:tcPr>
            <w:tcW w:w="7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2024-08-05</w:t>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2">
              <w:r>
                <w:rPr>
                  <w:rStyle w:val="InternetLink"/>
                  <w:rFonts w:ascii="Times New Roman;serif" w:hAnsi="Times New Roman;serif"/>
                  <w:b w:val="false"/>
                  <w:color w:val="0000FF"/>
                  <w:sz w:val="20"/>
                  <w:u w:val="single"/>
                </w:rPr>
                <w:t>Form of 7.375% Senior Secured Notes due 2031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80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001-39729</w:t>
            </w:r>
          </w:p>
        </w:tc>
        <w:tc>
          <w:tcPr>
            <w:tcW w:w="73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c>
        <w:tc>
          <w:tcPr>
            <w:tcW w:w="7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2024-08-05</w:t>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3">
              <w:r>
                <w:rPr>
                  <w:rStyle w:val="InternetLink"/>
                  <w:rFonts w:ascii="Times New Roman;serif" w:hAnsi="Times New Roman;serif"/>
                  <w:b w:val="false"/>
                  <w:color w:val="0000FF"/>
                  <w:sz w:val="20"/>
                  <w:u w:val="single"/>
                </w:rPr>
                <w:t>Notes Security Agreement, dated as of May 30, 2024, among Sotera Health Holdings, LLC, Sotera Health Company, the other Grantors party thereto, and Wilmington Trust, National Association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80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001-39729</w:t>
            </w:r>
          </w:p>
        </w:tc>
        <w:tc>
          <w:tcPr>
            <w:tcW w:w="73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c>
        <w:tc>
          <w:tcPr>
            <w:tcW w:w="7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2024-08-05</w:t>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4">
              <w:r>
                <w:rPr>
                  <w:rStyle w:val="InternetLink"/>
                  <w:rFonts w:ascii="Times New Roman;serif" w:hAnsi="Times New Roman;serif"/>
                  <w:b w:val="false"/>
                  <w:color w:val="0000FF"/>
                  <w:sz w:val="20"/>
                  <w:u w:val="single"/>
                </w:rPr>
                <w:t>Employment Agreement by and between Sotera Health Company and Michael B. Petras, Jr., dated as of November 10, 2020</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S-1/A</w:t>
            </w:r>
          </w:p>
        </w:tc>
        <w:tc>
          <w:tcPr>
            <w:tcW w:w="8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333-249648</w:t>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7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2020-11-12</w:t>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5">
              <w:r>
                <w:rPr>
                  <w:rStyle w:val="InternetLink"/>
                  <w:rFonts w:ascii="Times New Roman;serif" w:hAnsi="Times New Roman;serif"/>
                  <w:b w:val="false"/>
                  <w:color w:val="0000FF"/>
                  <w:sz w:val="20"/>
                  <w:u w:val="single"/>
                </w:rPr>
                <w:t>Executed Employment Offer by Sotera Health Company and Alex Dimitrief dated as of October 28, 2022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10-K</w:t>
            </w:r>
          </w:p>
        </w:tc>
        <w:tc>
          <w:tcPr>
            <w:tcW w:w="8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001-39729</w:t>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10.7</w:t>
            </w:r>
          </w:p>
        </w:tc>
        <w:tc>
          <w:tcPr>
            <w:tcW w:w="7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2023-02-28</w:t>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46685"/>
                <wp:effectExtent l="0" t="0" r="0" b="0"/>
                <wp:wrapNone/>
                <wp:docPr id="118" name="Frame1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116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116</w:t>
                      </w:r>
                    </w:p>
                  </w:txbxContent>
                </v:textbox>
                <w10:wrap type="none"/>
              </v:rect>
            </w:pict>
          </mc:Fallback>
        </mc:AlternateContent>
      </w:r>
    </w:p>
    <w:p>
      <w:pPr>
        <w:pStyle w:val="TextBody"/>
        <w:bidi w:val="0"/>
        <w:spacing w:lineRule="auto" w:line="333" w:before="0" w:after="0"/>
        <w:jc w:val="left"/>
        <w:rPr/>
      </w:pPr>
      <w:hyperlink w:anchor="i27c953b2e3004595bc062f37867a09bd_7">
        <w:r>
          <w:rPr>
            <w:rStyle w:val="InternetLink"/>
            <w:rFonts w:ascii="Times New Roman;serif" w:hAnsi="Times New Roman;serif"/>
            <w:b w:val="false"/>
            <w:color w:val="0000FF"/>
            <w:sz w:val="16"/>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375"/>
        <w:gridCol w:w="330"/>
        <w:gridCol w:w="331"/>
        <w:gridCol w:w="109"/>
        <w:gridCol w:w="109"/>
        <w:gridCol w:w="109"/>
        <w:gridCol w:w="1579"/>
        <w:gridCol w:w="1299"/>
        <w:gridCol w:w="1303"/>
        <w:gridCol w:w="109"/>
        <w:gridCol w:w="109"/>
        <w:gridCol w:w="109"/>
        <w:gridCol w:w="386"/>
        <w:gridCol w:w="386"/>
        <w:gridCol w:w="387"/>
        <w:gridCol w:w="109"/>
        <w:gridCol w:w="109"/>
        <w:gridCol w:w="109"/>
        <w:gridCol w:w="195"/>
        <w:gridCol w:w="195"/>
        <w:gridCol w:w="196"/>
        <w:gridCol w:w="340"/>
        <w:gridCol w:w="293"/>
        <w:gridCol w:w="158"/>
        <w:gridCol w:w="245"/>
        <w:gridCol w:w="245"/>
        <w:gridCol w:w="246"/>
        <w:gridCol w:w="213"/>
        <w:gridCol w:w="213"/>
        <w:gridCol w:w="309"/>
      </w:tblGrid>
      <w:tr>
        <w:trPr/>
        <w:tc>
          <w:tcPr>
            <w:tcW w:w="375"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9"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8"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Incorporated by Reference</w:t>
            </w:r>
          </w:p>
        </w:tc>
      </w:tr>
      <w:tr>
        <w:trPr/>
        <w:tc>
          <w:tcPr>
            <w:tcW w:w="10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 of Exhibits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Filed/Furnished Herewith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Form</w:t>
            </w:r>
          </w:p>
        </w:tc>
        <w:tc>
          <w:tcPr>
            <w:tcW w:w="7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File No.</w:t>
            </w:r>
          </w:p>
        </w:tc>
        <w:tc>
          <w:tcPr>
            <w:tcW w:w="7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w:t>
            </w:r>
          </w:p>
        </w:tc>
        <w:tc>
          <w:tcPr>
            <w:tcW w:w="73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Filing Date</w:t>
            </w:r>
          </w:p>
        </w:tc>
      </w:tr>
      <w:tr>
        <w:trPr/>
        <w:tc>
          <w:tcPr>
            <w:tcW w:w="103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6">
              <w:r>
                <w:rPr>
                  <w:rStyle w:val="InternetLink"/>
                  <w:rFonts w:ascii="Times New Roman;serif" w:hAnsi="Times New Roman;serif"/>
                  <w:b w:val="false"/>
                  <w:color w:val="0000FF"/>
                  <w:sz w:val="20"/>
                  <w:u w:val="single"/>
                </w:rPr>
                <w:t>Executed Restrictive Covenants Agreement by and between Sotera Health Company and Alex Dimitrief, dated as of November 1, 2022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10-K</w:t>
            </w:r>
          </w:p>
        </w:tc>
        <w:tc>
          <w:tcPr>
            <w:tcW w:w="7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001-39729</w:t>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10.8</w:t>
            </w:r>
          </w:p>
        </w:tc>
        <w:tc>
          <w:tcPr>
            <w:tcW w:w="7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2023-02-28</w:t>
            </w:r>
          </w:p>
        </w:tc>
      </w:tr>
      <w:tr>
        <w:trPr/>
        <w:tc>
          <w:tcPr>
            <w:tcW w:w="103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7">
              <w:r>
                <w:rPr>
                  <w:rStyle w:val="InternetLink"/>
                  <w:rFonts w:ascii="Times New Roman;serif" w:hAnsi="Times New Roman;serif"/>
                  <w:b w:val="false"/>
                  <w:color w:val="0000FF"/>
                  <w:sz w:val="20"/>
                  <w:u w:val="single"/>
                </w:rPr>
                <w:t>Cash Retention Bonus Agreement by and between Michael Rutz and Sotera Health Company dated as of November 7, 2022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10-K</w:t>
            </w:r>
          </w:p>
        </w:tc>
        <w:tc>
          <w:tcPr>
            <w:tcW w:w="7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001-39729</w:t>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10.9</w:t>
            </w:r>
          </w:p>
        </w:tc>
        <w:tc>
          <w:tcPr>
            <w:tcW w:w="7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2023-02-28</w:t>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8">
              <w:r>
                <w:rPr>
                  <w:rStyle w:val="InternetLink"/>
                  <w:rFonts w:ascii="Times New Roman;serif" w:hAnsi="Times New Roman;serif"/>
                  <w:b w:val="false"/>
                  <w:color w:val="0000FF"/>
                  <w:sz w:val="20"/>
                  <w:u w:val="single"/>
                </w:rPr>
                <w:t>Amended and Restated Employment Offer by Sotera Health Company and Jonathan M. Lyons dated as of February 26, 2025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7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001-39729</w:t>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w:t>
            </w:r>
          </w:p>
        </w:tc>
        <w:tc>
          <w:tcPr>
            <w:tcW w:w="7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2025-05-01</w:t>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9">
              <w:r>
                <w:rPr>
                  <w:rStyle w:val="InternetLink"/>
                  <w:rFonts w:ascii="Times New Roman;serif" w:hAnsi="Times New Roman;serif"/>
                  <w:b w:val="false"/>
                  <w:color w:val="0000FF"/>
                  <w:sz w:val="20"/>
                  <w:u w:val="single"/>
                </w:rPr>
                <w:t>Executed Restrictive Covenants Agreement by and between Sotera Health Company and Jonathan M. Lyons dated as of June 26, 2023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7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001-39729</w:t>
            </w:r>
          </w:p>
        </w:tc>
        <w:tc>
          <w:tcPr>
            <w:tcW w:w="73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10.3</w:t>
            </w:r>
          </w:p>
        </w:tc>
        <w:tc>
          <w:tcPr>
            <w:tcW w:w="7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2023-08-03</w:t>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0">
              <w:r>
                <w:rPr>
                  <w:rStyle w:val="InternetLink"/>
                  <w:rFonts w:ascii="Times New Roman;serif" w:hAnsi="Times New Roman;serif"/>
                  <w:b w:val="false"/>
                  <w:color w:val="0000FF"/>
                  <w:sz w:val="20"/>
                  <w:u w:val="single"/>
                </w:rPr>
                <w:t>Sotera Health Company Supplemental Retirement Benefit Plan, effective as of January 1, 2018</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S-1/A</w:t>
            </w:r>
          </w:p>
        </w:tc>
        <w:tc>
          <w:tcPr>
            <w:tcW w:w="7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333-249648</w:t>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7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2020-11-12</w:t>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1">
              <w:r>
                <w:rPr>
                  <w:rStyle w:val="InternetLink"/>
                  <w:rFonts w:ascii="Times New Roman;serif" w:hAnsi="Times New Roman;serif"/>
                  <w:b w:val="false"/>
                  <w:color w:val="0000FF"/>
                  <w:sz w:val="20"/>
                  <w:u w:val="single"/>
                </w:rPr>
                <w:t>Sotera Health Company 2020 Omnibus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S-1/A</w:t>
            </w:r>
          </w:p>
        </w:tc>
        <w:tc>
          <w:tcPr>
            <w:tcW w:w="7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333-249648</w:t>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10.5</w:t>
            </w:r>
          </w:p>
        </w:tc>
        <w:tc>
          <w:tcPr>
            <w:tcW w:w="7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2020-11-12</w:t>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2">
              <w:r>
                <w:rPr>
                  <w:rStyle w:val="InternetLink"/>
                  <w:rFonts w:ascii="Times New Roman;serif" w:hAnsi="Times New Roman;serif"/>
                  <w:b w:val="false"/>
                  <w:color w:val="0000FF"/>
                  <w:sz w:val="20"/>
                  <w:u w:val="single"/>
                </w:rPr>
                <w:t>Form of Sotera Health Company 2020 Omnibus Incentive Plan Restricted Stock Unit Grant Notice and Agreement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S-1/A</w:t>
            </w:r>
          </w:p>
        </w:tc>
        <w:tc>
          <w:tcPr>
            <w:tcW w:w="7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333-249648</w:t>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10.6</w:t>
            </w:r>
          </w:p>
        </w:tc>
        <w:tc>
          <w:tcPr>
            <w:tcW w:w="7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2020-11-12</w:t>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3">
              <w:r>
                <w:rPr>
                  <w:rStyle w:val="InternetLink"/>
                  <w:rFonts w:ascii="Times New Roman;serif" w:hAnsi="Times New Roman;serif"/>
                  <w:b w:val="false"/>
                  <w:color w:val="0000FF"/>
                  <w:sz w:val="20"/>
                  <w:u w:val="single"/>
                </w:rPr>
                <w:t>Form of Sotera Health Company 2020 Omnibus Incentive Plan Stock Option Grant Notice and Agreement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S-1/A</w:t>
            </w:r>
          </w:p>
        </w:tc>
        <w:tc>
          <w:tcPr>
            <w:tcW w:w="7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333-249648</w:t>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10.7</w:t>
            </w:r>
          </w:p>
        </w:tc>
        <w:tc>
          <w:tcPr>
            <w:tcW w:w="7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2020-11-12</w:t>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4">
              <w:r>
                <w:rPr>
                  <w:rStyle w:val="InternetLink"/>
                  <w:rFonts w:ascii="Times New Roman;serif" w:hAnsi="Times New Roman;serif"/>
                  <w:b w:val="false"/>
                  <w:color w:val="0000FF"/>
                  <w:sz w:val="20"/>
                  <w:u w:val="single"/>
                </w:rPr>
                <w:t>Form of Indemnification Agreement entered into between the Registrant and each director and executive officer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S-1/A</w:t>
            </w:r>
          </w:p>
        </w:tc>
        <w:tc>
          <w:tcPr>
            <w:tcW w:w="7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333-249648</w:t>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10.8</w:t>
            </w:r>
          </w:p>
        </w:tc>
        <w:tc>
          <w:tcPr>
            <w:tcW w:w="7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2020-11-02</w:t>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5">
              <w:r>
                <w:rPr>
                  <w:rStyle w:val="InternetLink"/>
                  <w:rFonts w:ascii="Times New Roman;serif" w:hAnsi="Times New Roman;serif"/>
                  <w:b w:val="false"/>
                  <w:color w:val="0000FF"/>
                  <w:sz w:val="20"/>
                  <w:u w:val="single"/>
                </w:rPr>
                <w:t>Stockholders Agreement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10-K</w:t>
            </w:r>
          </w:p>
        </w:tc>
        <w:tc>
          <w:tcPr>
            <w:tcW w:w="7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001-39729</w:t>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10.9</w:t>
            </w:r>
          </w:p>
        </w:tc>
        <w:tc>
          <w:tcPr>
            <w:tcW w:w="7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2021-03-09</w:t>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6">
              <w:r>
                <w:rPr>
                  <w:rStyle w:val="InternetLink"/>
                  <w:rFonts w:ascii="Times New Roman;serif" w:hAnsi="Times New Roman;serif"/>
                  <w:b w:val="false"/>
                  <w:color w:val="0000FF"/>
                  <w:sz w:val="20"/>
                  <w:u w:val="single"/>
                </w:rPr>
                <w:t>2019 Credit Agreement, dated as of December 13, 2019, among the Registrant, Sotera Health Holdings, LLC, the lenders and issuing banks party thereto and Jefferies Finance LLC, as first lien administrative agent and first lien collateral agent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S-1</w:t>
            </w:r>
          </w:p>
        </w:tc>
        <w:tc>
          <w:tcPr>
            <w:tcW w:w="7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333-249648</w:t>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10.10</w:t>
            </w:r>
          </w:p>
        </w:tc>
        <w:tc>
          <w:tcPr>
            <w:tcW w:w="7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2020-10-23</w:t>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7">
              <w:r>
                <w:rPr>
                  <w:rStyle w:val="InternetLink"/>
                  <w:rFonts w:ascii="Times New Roman;serif" w:hAnsi="Times New Roman;serif"/>
                  <w:b w:val="false"/>
                  <w:color w:val="0000FF"/>
                  <w:sz w:val="20"/>
                  <w:u w:val="single"/>
                </w:rPr>
                <w:t>Guarantee Agreement, dated as of December 13, 2019, among the Registrant, Sotera Health Holdings, LLC, the other guarantors party thereto and Jefferies Finance LLC, as first lien collateral agent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S-1</w:t>
            </w:r>
          </w:p>
        </w:tc>
        <w:tc>
          <w:tcPr>
            <w:tcW w:w="7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333-249648</w:t>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10.11</w:t>
            </w:r>
          </w:p>
        </w:tc>
        <w:tc>
          <w:tcPr>
            <w:tcW w:w="7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2020-10-23</w:t>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8">
              <w:r>
                <w:rPr>
                  <w:rStyle w:val="InternetLink"/>
                  <w:rFonts w:ascii="Times New Roman;serif" w:hAnsi="Times New Roman;serif"/>
                  <w:b w:val="false"/>
                  <w:color w:val="0000FF"/>
                  <w:sz w:val="20"/>
                  <w:u w:val="single"/>
                </w:rPr>
                <w:t>Collateral Agreement, dated as of December 13, 2019, among the Registrant, Sotera Health Holdings, LLC, the other guarantors party thereto and Jefferies Finance LLC, as first lien collateral agent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S-1</w:t>
            </w:r>
          </w:p>
        </w:tc>
        <w:tc>
          <w:tcPr>
            <w:tcW w:w="7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333-249648</w:t>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10.12</w:t>
            </w:r>
          </w:p>
        </w:tc>
        <w:tc>
          <w:tcPr>
            <w:tcW w:w="7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2020-10-23</w:t>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9">
              <w:r>
                <w:rPr>
                  <w:rStyle w:val="InternetLink"/>
                  <w:rFonts w:ascii="Times New Roman;serif" w:hAnsi="Times New Roman;serif"/>
                  <w:b w:val="false"/>
                  <w:color w:val="0000FF"/>
                  <w:sz w:val="20"/>
                  <w:u w:val="single"/>
                </w:rPr>
                <w:t>Patent Security Agreement, dated as of December 13, 2019, between Sterigenics U.S., LLC and Jefferies Finance LLC, as collateral agent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S-1</w:t>
            </w:r>
          </w:p>
        </w:tc>
        <w:tc>
          <w:tcPr>
            <w:tcW w:w="7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333-249648</w:t>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10.13</w:t>
            </w:r>
          </w:p>
        </w:tc>
        <w:tc>
          <w:tcPr>
            <w:tcW w:w="7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2020-10-23</w:t>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46685"/>
                <wp:effectExtent l="0" t="0" r="0" b="0"/>
                <wp:wrapNone/>
                <wp:docPr id="119" name="Frame1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117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117</w:t>
                      </w:r>
                    </w:p>
                  </w:txbxContent>
                </v:textbox>
                <w10:wrap type="none"/>
              </v:rect>
            </w:pict>
          </mc:Fallback>
        </mc:AlternateContent>
      </w:r>
    </w:p>
    <w:p>
      <w:pPr>
        <w:pStyle w:val="TextBody"/>
        <w:bidi w:val="0"/>
        <w:spacing w:lineRule="auto" w:line="333" w:before="0" w:after="0"/>
        <w:jc w:val="left"/>
        <w:rPr/>
      </w:pPr>
      <w:hyperlink w:anchor="i27c953b2e3004595bc062f37867a09bd_7">
        <w:r>
          <w:rPr>
            <w:rStyle w:val="InternetLink"/>
            <w:rFonts w:ascii="Times New Roman;serif" w:hAnsi="Times New Roman;serif"/>
            <w:b w:val="false"/>
            <w:color w:val="0000FF"/>
            <w:sz w:val="16"/>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375"/>
        <w:gridCol w:w="330"/>
        <w:gridCol w:w="331"/>
        <w:gridCol w:w="109"/>
        <w:gridCol w:w="109"/>
        <w:gridCol w:w="109"/>
        <w:gridCol w:w="1703"/>
        <w:gridCol w:w="1234"/>
        <w:gridCol w:w="1238"/>
        <w:gridCol w:w="109"/>
        <w:gridCol w:w="109"/>
        <w:gridCol w:w="109"/>
        <w:gridCol w:w="387"/>
        <w:gridCol w:w="387"/>
        <w:gridCol w:w="389"/>
        <w:gridCol w:w="109"/>
        <w:gridCol w:w="109"/>
        <w:gridCol w:w="109"/>
        <w:gridCol w:w="195"/>
        <w:gridCol w:w="195"/>
        <w:gridCol w:w="196"/>
        <w:gridCol w:w="272"/>
        <w:gridCol w:w="272"/>
        <w:gridCol w:w="248"/>
        <w:gridCol w:w="245"/>
        <w:gridCol w:w="245"/>
        <w:gridCol w:w="246"/>
        <w:gridCol w:w="214"/>
        <w:gridCol w:w="214"/>
        <w:gridCol w:w="308"/>
      </w:tblGrid>
      <w:tr>
        <w:trPr/>
        <w:tc>
          <w:tcPr>
            <w:tcW w:w="375"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3"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Incorporated by Reference</w:t>
            </w:r>
          </w:p>
        </w:tc>
      </w:tr>
      <w:tr>
        <w:trPr/>
        <w:tc>
          <w:tcPr>
            <w:tcW w:w="10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 of Exhibits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Filed/Furnished Herewith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Form</w:t>
            </w:r>
          </w:p>
        </w:tc>
        <w:tc>
          <w:tcPr>
            <w:tcW w:w="79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File No.</w:t>
            </w:r>
          </w:p>
        </w:tc>
        <w:tc>
          <w:tcPr>
            <w:tcW w:w="7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w:t>
            </w:r>
          </w:p>
        </w:tc>
        <w:tc>
          <w:tcPr>
            <w:tcW w:w="7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Filing Date</w:t>
            </w:r>
          </w:p>
        </w:tc>
      </w:tr>
      <w:tr>
        <w:trPr/>
        <w:tc>
          <w:tcPr>
            <w:tcW w:w="103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0">
              <w:r>
                <w:rPr>
                  <w:rStyle w:val="InternetLink"/>
                  <w:rFonts w:ascii="Times New Roman;serif" w:hAnsi="Times New Roman;serif"/>
                  <w:b w:val="false"/>
                  <w:color w:val="0000FF"/>
                  <w:sz w:val="20"/>
                  <w:u w:val="single"/>
                </w:rPr>
                <w:t>Trademark Security Agreement, dated as of December 13, 2019, between Sterigenics U.S., LLC and Jefferies Finance LLC, as collateral agent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S-1</w:t>
            </w:r>
          </w:p>
        </w:tc>
        <w:tc>
          <w:tcPr>
            <w:tcW w:w="7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333-249648</w:t>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10.14</w:t>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2020-10-23</w:t>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1">
              <w:r>
                <w:rPr>
                  <w:rStyle w:val="InternetLink"/>
                  <w:rFonts w:ascii="Times New Roman;serif" w:hAnsi="Times New Roman;serif"/>
                  <w:b w:val="false"/>
                  <w:color w:val="0000FF"/>
                  <w:sz w:val="20"/>
                  <w:u w:val="single"/>
                </w:rPr>
                <w:t>Trademark Security Agreement, dated as of December 13, 2019, between Nelson Laboratories, LLC and Jefferies Finance LLC, as collateral agent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S-1</w:t>
            </w:r>
          </w:p>
        </w:tc>
        <w:tc>
          <w:tcPr>
            <w:tcW w:w="7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333-249648</w:t>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10.15</w:t>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2020-10-23</w:t>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2">
              <w:r>
                <w:rPr>
                  <w:rStyle w:val="InternetLink"/>
                  <w:rFonts w:ascii="Times New Roman;serif" w:hAnsi="Times New Roman;serif"/>
                  <w:b w:val="false"/>
                  <w:color w:val="0000FF"/>
                  <w:sz w:val="20"/>
                  <w:u w:val="single"/>
                </w:rPr>
                <w:t>Trademark Security Agreement, dated as of December 13, 2019, between Sotera Health LLC and Jefferies Finance LLC, as collateral agent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S-1</w:t>
            </w:r>
          </w:p>
        </w:tc>
        <w:tc>
          <w:tcPr>
            <w:tcW w:w="7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333-249648</w:t>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10.16</w:t>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2020-10-23</w:t>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3">
              <w:r>
                <w:rPr>
                  <w:rStyle w:val="InternetLink"/>
                  <w:rFonts w:ascii="Times New Roman;serif" w:hAnsi="Times New Roman;serif"/>
                  <w:b w:val="false"/>
                  <w:color w:val="0000FF"/>
                  <w:sz w:val="20"/>
                  <w:u w:val="single"/>
                </w:rPr>
                <w:t>Copyright Security Agreement, dated as of December 13, 2019, among Jefferies Finance LLC and Nelson Laboratories, LLC, as collateral agent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S-1</w:t>
            </w:r>
          </w:p>
        </w:tc>
        <w:tc>
          <w:tcPr>
            <w:tcW w:w="7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333-249648</w:t>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10.17</w:t>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2020-10-23</w:t>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4">
              <w:r>
                <w:rPr>
                  <w:rStyle w:val="InternetLink"/>
                  <w:rFonts w:ascii="Times New Roman;serif" w:hAnsi="Times New Roman;serif"/>
                  <w:b w:val="false"/>
                  <w:color w:val="0000FF"/>
                  <w:sz w:val="20"/>
                  <w:u w:val="single"/>
                </w:rPr>
                <w:t>First Lien Collateral Agreement, dated as of July 31, 2020, among the Registrant, Sotera Health Holdings, LLC, the other grantors party thereto and Wilmington Trust, National Association, as first lien notes collateral agent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S-1</w:t>
            </w:r>
          </w:p>
        </w:tc>
        <w:tc>
          <w:tcPr>
            <w:tcW w:w="7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333-249648</w:t>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10.26</w:t>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2020-10-23</w:t>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5">
              <w:r>
                <w:rPr>
                  <w:rStyle w:val="InternetLink"/>
                  <w:rFonts w:ascii="Times New Roman;serif" w:hAnsi="Times New Roman;serif"/>
                  <w:b w:val="false"/>
                  <w:color w:val="0000FF"/>
                  <w:sz w:val="20"/>
                  <w:u w:val="single"/>
                </w:rPr>
                <w:t>Patent Security Agreement, dated as of July 31, 2020, between Sterigenics U.S., LLC and Wilmington Trust, National Association, as first lien notes collateral agent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S-1</w:t>
            </w:r>
          </w:p>
        </w:tc>
        <w:tc>
          <w:tcPr>
            <w:tcW w:w="7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333-249648</w:t>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10.27</w:t>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2020-10-23</w:t>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6">
              <w:r>
                <w:rPr>
                  <w:rStyle w:val="InternetLink"/>
                  <w:rFonts w:ascii="Times New Roman;serif" w:hAnsi="Times New Roman;serif"/>
                  <w:b w:val="false"/>
                  <w:color w:val="0000FF"/>
                  <w:sz w:val="20"/>
                  <w:u w:val="single"/>
                </w:rPr>
                <w:t>Trademark Security Agreement, dated as of July 31, 2020, between Sotera Health Holdings LLC and Wilmington Trust, National Association, as first lien notes collateral agent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S-1</w:t>
            </w:r>
          </w:p>
        </w:tc>
        <w:tc>
          <w:tcPr>
            <w:tcW w:w="7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333-249648</w:t>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10.28</w:t>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2020-10-23</w:t>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7">
              <w:r>
                <w:rPr>
                  <w:rStyle w:val="InternetLink"/>
                  <w:rFonts w:ascii="Times New Roman;serif" w:hAnsi="Times New Roman;serif"/>
                  <w:b w:val="false"/>
                  <w:color w:val="0000FF"/>
                  <w:sz w:val="20"/>
                  <w:u w:val="single"/>
                </w:rPr>
                <w:t>Copyright Security Agreement, dated as of July 31, 2020, between Nelson Laboratories, LLC and Wilmington Trust, National Association, as first lien notes collateral agent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S-1</w:t>
            </w:r>
          </w:p>
        </w:tc>
        <w:tc>
          <w:tcPr>
            <w:tcW w:w="7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333-249648</w:t>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10.29</w:t>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2020-10-23</w:t>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8">
              <w:r>
                <w:rPr>
                  <w:rStyle w:val="InternetLink"/>
                  <w:rFonts w:ascii="Times New Roman;serif" w:hAnsi="Times New Roman;serif"/>
                  <w:b w:val="false"/>
                  <w:color w:val="0000FF"/>
                  <w:sz w:val="20"/>
                  <w:u w:val="single"/>
                </w:rPr>
                <w:t>Restated Supply Agreement, dated as of October 6, 2020, between Balchem Corporation and Sterigenics U.S., LLC, Sterigenics S. De R.L. De C.V., Sterigenics Costa Rica S.R.L. and Sterigenics EO Canada,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S-1/A</w:t>
            </w:r>
          </w:p>
        </w:tc>
        <w:tc>
          <w:tcPr>
            <w:tcW w:w="7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333-249648</w:t>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10.30</w:t>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2020-11-18</w:t>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9">
              <w:r>
                <w:rPr>
                  <w:rStyle w:val="InternetLink"/>
                  <w:rFonts w:ascii="Times New Roman;serif" w:hAnsi="Times New Roman;serif"/>
                  <w:b w:val="false"/>
                  <w:color w:val="0000FF"/>
                  <w:sz w:val="20"/>
                  <w:u w:val="single"/>
                </w:rPr>
                <w:t>Form of Restricted Stock Agreement and Acknowledgement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S-1/A</w:t>
            </w:r>
          </w:p>
        </w:tc>
        <w:tc>
          <w:tcPr>
            <w:tcW w:w="7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333-249648</w:t>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10.31</w:t>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2020-11-12</w:t>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0">
              <w:r>
                <w:rPr>
                  <w:rStyle w:val="InternetLink"/>
                  <w:rFonts w:ascii="Times New Roman;serif" w:hAnsi="Times New Roman;serif"/>
                  <w:b w:val="false"/>
                  <w:color w:val="0000FF"/>
                  <w:sz w:val="20"/>
                  <w:u w:val="single"/>
                </w:rPr>
                <w:t>Non-Employee Director Compensation Policy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S-1/A</w:t>
            </w:r>
          </w:p>
        </w:tc>
        <w:tc>
          <w:tcPr>
            <w:tcW w:w="7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333-249648</w:t>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10.32</w:t>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2020-11-12</w:t>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1">
              <w:r>
                <w:rPr>
                  <w:rStyle w:val="InternetLink"/>
                  <w:rFonts w:ascii="Times New Roman;serif" w:hAnsi="Times New Roman;serif"/>
                  <w:b w:val="false"/>
                  <w:color w:val="0000FF"/>
                  <w:sz w:val="20"/>
                  <w:u w:val="single"/>
                </w:rPr>
                <w:t>Employment Agreement by and between Sotera Health LLC and Michael P. Rutz, dated as of May 21, 2020</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10-K</w:t>
            </w:r>
          </w:p>
        </w:tc>
        <w:tc>
          <w:tcPr>
            <w:tcW w:w="7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001-39729</w:t>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10.26</w:t>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2021-03-09</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46685"/>
                <wp:effectExtent l="0" t="0" r="0" b="0"/>
                <wp:wrapNone/>
                <wp:docPr id="120" name="Frame1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118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118</w:t>
                      </w:r>
                    </w:p>
                  </w:txbxContent>
                </v:textbox>
                <w10:wrap type="none"/>
              </v:rect>
            </w:pict>
          </mc:Fallback>
        </mc:AlternateContent>
      </w:r>
    </w:p>
    <w:p>
      <w:pPr>
        <w:pStyle w:val="TextBody"/>
        <w:bidi w:val="0"/>
        <w:spacing w:lineRule="auto" w:line="333" w:before="0" w:after="0"/>
        <w:jc w:val="left"/>
        <w:rPr/>
      </w:pPr>
      <w:hyperlink w:anchor="i27c953b2e3004595bc062f37867a09bd_7">
        <w:r>
          <w:rPr>
            <w:rStyle w:val="InternetLink"/>
            <w:rFonts w:ascii="Times New Roman;serif" w:hAnsi="Times New Roman;serif"/>
            <w:b w:val="false"/>
            <w:color w:val="0000FF"/>
            <w:sz w:val="16"/>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375"/>
        <w:gridCol w:w="330"/>
        <w:gridCol w:w="331"/>
        <w:gridCol w:w="109"/>
        <w:gridCol w:w="109"/>
        <w:gridCol w:w="109"/>
        <w:gridCol w:w="1601"/>
        <w:gridCol w:w="1387"/>
        <w:gridCol w:w="1391"/>
        <w:gridCol w:w="109"/>
        <w:gridCol w:w="109"/>
        <w:gridCol w:w="109"/>
        <w:gridCol w:w="367"/>
        <w:gridCol w:w="367"/>
        <w:gridCol w:w="368"/>
        <w:gridCol w:w="109"/>
        <w:gridCol w:w="109"/>
        <w:gridCol w:w="109"/>
        <w:gridCol w:w="195"/>
        <w:gridCol w:w="195"/>
        <w:gridCol w:w="196"/>
        <w:gridCol w:w="263"/>
        <w:gridCol w:w="263"/>
        <w:gridCol w:w="144"/>
        <w:gridCol w:w="245"/>
        <w:gridCol w:w="245"/>
        <w:gridCol w:w="246"/>
        <w:gridCol w:w="208"/>
        <w:gridCol w:w="208"/>
        <w:gridCol w:w="299"/>
      </w:tblGrid>
      <w:tr>
        <w:trPr/>
        <w:tc>
          <w:tcPr>
            <w:tcW w:w="375"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1"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7"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Incorporated by Reference</w:t>
            </w:r>
          </w:p>
        </w:tc>
      </w:tr>
      <w:tr>
        <w:trPr/>
        <w:tc>
          <w:tcPr>
            <w:tcW w:w="10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 of Exhibits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Filed/Furnished Herewith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Form</w:t>
            </w:r>
          </w:p>
        </w:tc>
        <w:tc>
          <w:tcPr>
            <w:tcW w:w="67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File No.</w:t>
            </w:r>
          </w:p>
        </w:tc>
        <w:tc>
          <w:tcPr>
            <w:tcW w:w="7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w:t>
            </w:r>
          </w:p>
        </w:tc>
        <w:tc>
          <w:tcPr>
            <w:tcW w:w="71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Filing Date</w:t>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2">
              <w:r>
                <w:rPr>
                  <w:rStyle w:val="InternetLink"/>
                  <w:rFonts w:ascii="Times New Roman;serif" w:hAnsi="Times New Roman;serif"/>
                  <w:b w:val="false"/>
                  <w:color w:val="0000FF"/>
                  <w:sz w:val="20"/>
                  <w:u w:val="single"/>
                </w:rPr>
                <w:t xml:space="preserve">Incremental Facility Amendment to the 2019 Credit Agreement, dated as of December 17, 2020, among Sotera Health Company, Sotera Health Holdings, LLC, the Incremental Amendment Revolving Lends party thereto, Jefferies Finance LLC, as First Lien Administrative Agent, each Issuing Bank and the Other Loan Parties </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10-K</w:t>
            </w:r>
          </w:p>
        </w:tc>
        <w:tc>
          <w:tcPr>
            <w:tcW w:w="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001-39729</w:t>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10.27</w:t>
            </w:r>
          </w:p>
        </w:tc>
        <w:tc>
          <w:tcPr>
            <w:tcW w:w="7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2021-03-09</w:t>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3">
              <w:r>
                <w:rPr>
                  <w:rStyle w:val="InternetLink"/>
                  <w:rFonts w:ascii="Times New Roman;serif" w:hAnsi="Times New Roman;serif"/>
                  <w:b w:val="false"/>
                  <w:color w:val="0000FF"/>
                  <w:sz w:val="20"/>
                  <w:u w:val="single"/>
                </w:rPr>
                <w:t>Refinancing Amendment to the First Lien 2019 Credit Agreement, dated as of January 20, 2021, among Sotera Health Company, Sotera Health Holdings, LLC, the Refinancing Lenders Party thereto, the Revolving Lenders party to the First Lien Credit Agreement and Jefferies Finance LLC, as First Lien Administrative Agent and First Lien Collateral Agent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10-K</w:t>
            </w:r>
          </w:p>
        </w:tc>
        <w:tc>
          <w:tcPr>
            <w:tcW w:w="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001-39729</w:t>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10.28</w:t>
            </w:r>
          </w:p>
        </w:tc>
        <w:tc>
          <w:tcPr>
            <w:tcW w:w="7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2021-03-09</w:t>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4">
              <w:r>
                <w:rPr>
                  <w:rStyle w:val="InternetLink"/>
                  <w:rFonts w:ascii="Times New Roman;serif" w:hAnsi="Times New Roman;serif"/>
                  <w:b w:val="false"/>
                  <w:color w:val="0000FF"/>
                  <w:sz w:val="20"/>
                  <w:u w:val="single"/>
                </w:rPr>
                <w:t>Revolving Facilities Amendment to the 2019 Credit Agreement, dated as of March 26, 2021, among Sotera Health Company, Sotera Health Holdings, LLC, the Refinancing Lenders Party thereto, the Revolving Lenders party to the First Lien Credit Agreement and Jefferies Finance LLC, as First Lien Administrative Agent and First Lien Collateral Agent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001-39729</w:t>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w:t>
            </w:r>
          </w:p>
        </w:tc>
        <w:tc>
          <w:tcPr>
            <w:tcW w:w="7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2021-05-13</w:t>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5">
              <w:r>
                <w:rPr>
                  <w:rStyle w:val="InternetLink"/>
                  <w:rFonts w:ascii="Times New Roman;serif" w:hAnsi="Times New Roman;serif"/>
                  <w:b w:val="false"/>
                  <w:color w:val="0000FF"/>
                  <w:sz w:val="20"/>
                  <w:u w:val="single"/>
                </w:rPr>
                <w:t>Amendment to First Lien 2019 Credit Agreement, dated as of December 23, 2021 by and among Sotera Health Company, Sotera Health Holdings, LLC, and JPMorgan Chase Bank, N.A. as First Lien Administrative Agent and First Lien Collateral Agent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10-K</w:t>
            </w:r>
          </w:p>
        </w:tc>
        <w:tc>
          <w:tcPr>
            <w:tcW w:w="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001-39729</w:t>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10.31</w:t>
            </w:r>
          </w:p>
        </w:tc>
        <w:tc>
          <w:tcPr>
            <w:tcW w:w="7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2022-03-01</w:t>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9" w:type="dxa"/>
            <w:gridSpan w:val="3"/>
            <w:tcBorders/>
            <w:tcMar>
              <w:top w:w="0" w:type="dxa"/>
              <w:left w:w="0" w:type="dxa"/>
              <w:bottom w:w="0" w:type="dxa"/>
              <w:right w:w="0" w:type="dxa"/>
            </w:tcMar>
            <w:vAlign w:val="center"/>
          </w:tcPr>
          <w:p>
            <w:pPr>
              <w:pStyle w:val="TableContents"/>
              <w:bidi w:val="0"/>
              <w:spacing w:lineRule="auto" w:line="240" w:before="191" w:after="283"/>
              <w:jc w:val="left"/>
              <w:rPr/>
            </w:pPr>
            <w:hyperlink r:id="rId46">
              <w:r>
                <w:rPr>
                  <w:rStyle w:val="InternetLink"/>
                  <w:rFonts w:ascii="Times New Roman;serif" w:hAnsi="Times New Roman;serif"/>
                  <w:b w:val="false"/>
                  <w:color w:val="0000FF"/>
                  <w:sz w:val="20"/>
                  <w:u w:val="single"/>
                </w:rPr>
                <w:t>Amendment to First Lien 2019 Credit Agreement, dated as of March 24, 2022, by and among Sotera Health Company, Sotera Health Holdings, LLC, and JPMorgan Chase Bank, N.A. as First Lien Administrative Agent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10-K</w:t>
            </w:r>
          </w:p>
        </w:tc>
        <w:tc>
          <w:tcPr>
            <w:tcW w:w="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001-39729</w:t>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10.37</w:t>
            </w:r>
          </w:p>
        </w:tc>
        <w:tc>
          <w:tcPr>
            <w:tcW w:w="7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2023-02-28</w:t>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7">
              <w:r>
                <w:rPr>
                  <w:rStyle w:val="InternetLink"/>
                  <w:rFonts w:ascii="Times New Roman;serif" w:hAnsi="Times New Roman;serif"/>
                  <w:b w:val="false"/>
                  <w:color w:val="0000FF"/>
                  <w:sz w:val="20"/>
                  <w:u w:val="single"/>
                </w:rPr>
                <w:t>Incremental Facility Amendment No. 2, dated as of March 21, 2023, to the First Lien Credit Agreement dated as of December 13, 2019 by and among Sotera Health Company, Sotera Health Holdings, LLC, certain subsidiaries of Sotera Health Company, JPMorgan Chase Bank, N.A., as First Lien Administrative Agent and the lenders and issuing banks party thereto</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001-39729</w:t>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7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2023-03-22</w:t>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8">
              <w:r>
                <w:rPr>
                  <w:rStyle w:val="InternetLink"/>
                  <w:rFonts w:ascii="Times New Roman;serif" w:hAnsi="Times New Roman;serif"/>
                  <w:b w:val="false"/>
                  <w:color w:val="0000FF"/>
                  <w:sz w:val="20"/>
                  <w:u w:val="single"/>
                </w:rPr>
                <w:t>Amendment, dated as of June 22, 2023, to the First Lien Credit Agreement dated as of December 13, 2019 by and among Sotera Health Company, Sotera Health Holdings, LLC, certain subsidiaries of Sotera Health Company, JPMorgan Chase Bank, N.A., as First Lien Administrative Agent and the lenders and issuing banks party thereto</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001-39729</w:t>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7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2023-06-22</w:t>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46685"/>
                <wp:effectExtent l="0" t="0" r="0" b="0"/>
                <wp:wrapNone/>
                <wp:docPr id="121" name="Frame1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119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119</w:t>
                      </w:r>
                    </w:p>
                  </w:txbxContent>
                </v:textbox>
                <w10:wrap type="none"/>
              </v:rect>
            </w:pict>
          </mc:Fallback>
        </mc:AlternateContent>
      </w:r>
    </w:p>
    <w:p>
      <w:pPr>
        <w:pStyle w:val="TextBody"/>
        <w:bidi w:val="0"/>
        <w:spacing w:lineRule="auto" w:line="333" w:before="0" w:after="0"/>
        <w:jc w:val="left"/>
        <w:rPr/>
      </w:pPr>
      <w:hyperlink w:anchor="i27c953b2e3004595bc062f37867a09bd_7">
        <w:r>
          <w:rPr>
            <w:rStyle w:val="InternetLink"/>
            <w:rFonts w:ascii="Times New Roman;serif" w:hAnsi="Times New Roman;serif"/>
            <w:b w:val="false"/>
            <w:color w:val="0000FF"/>
            <w:sz w:val="16"/>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375"/>
        <w:gridCol w:w="330"/>
        <w:gridCol w:w="331"/>
        <w:gridCol w:w="109"/>
        <w:gridCol w:w="109"/>
        <w:gridCol w:w="109"/>
        <w:gridCol w:w="1599"/>
        <w:gridCol w:w="1385"/>
        <w:gridCol w:w="1389"/>
        <w:gridCol w:w="109"/>
        <w:gridCol w:w="109"/>
        <w:gridCol w:w="109"/>
        <w:gridCol w:w="368"/>
        <w:gridCol w:w="368"/>
        <w:gridCol w:w="369"/>
        <w:gridCol w:w="109"/>
        <w:gridCol w:w="109"/>
        <w:gridCol w:w="109"/>
        <w:gridCol w:w="195"/>
        <w:gridCol w:w="195"/>
        <w:gridCol w:w="196"/>
        <w:gridCol w:w="263"/>
        <w:gridCol w:w="263"/>
        <w:gridCol w:w="144"/>
        <w:gridCol w:w="245"/>
        <w:gridCol w:w="245"/>
        <w:gridCol w:w="246"/>
        <w:gridCol w:w="208"/>
        <w:gridCol w:w="208"/>
        <w:gridCol w:w="302"/>
      </w:tblGrid>
      <w:tr>
        <w:trPr/>
        <w:tc>
          <w:tcPr>
            <w:tcW w:w="375"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9"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13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0"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Incorporated by Reference</w:t>
            </w:r>
          </w:p>
        </w:tc>
      </w:tr>
      <w:tr>
        <w:trPr/>
        <w:tc>
          <w:tcPr>
            <w:tcW w:w="10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 of Exhibits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Filed/Furnished Herewith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Form</w:t>
            </w:r>
          </w:p>
        </w:tc>
        <w:tc>
          <w:tcPr>
            <w:tcW w:w="67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File No.</w:t>
            </w:r>
          </w:p>
        </w:tc>
        <w:tc>
          <w:tcPr>
            <w:tcW w:w="7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w:t>
            </w:r>
          </w:p>
        </w:tc>
        <w:tc>
          <w:tcPr>
            <w:tcW w:w="71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Filing Date</w:t>
            </w:r>
          </w:p>
        </w:tc>
      </w:tr>
      <w:tr>
        <w:trPr/>
        <w:tc>
          <w:tcPr>
            <w:tcW w:w="103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10.36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49">
              <w:r>
                <w:rPr>
                  <w:rStyle w:val="InternetLink"/>
                  <w:rFonts w:ascii="Times New Roman;serif" w:hAnsi="Times New Roman;serif"/>
                  <w:b w:val="false"/>
                  <w:color w:val="000080"/>
                  <w:sz w:val="20"/>
                  <w:u w:val="single"/>
                </w:rPr>
                <w:t>Amendment No. 3 to the First Lien Credit Agreement, dated March 1, 2024, by and among Sotera Health Company, Sotera Health Holdings,</w:t>
              </w:r>
            </w:hyperlink>
            <w:hyperlink r:id="rId50">
              <w:r>
                <w:rPr>
                  <w:rStyle w:val="InternetLink"/>
                  <w:rFonts w:ascii="Times New Roman;serif" w:hAnsi="Times New Roman;serif"/>
                  <w:b w:val="false"/>
                  <w:color w:val="000080"/>
                  <w:sz w:val="20"/>
                  <w:u w:val="single"/>
                </w:rPr>
                <w:t xml:space="preserve"> LLC,</w:t>
              </w:r>
            </w:hyperlink>
            <w:hyperlink r:id="rId51">
              <w:r>
                <w:rPr>
                  <w:rStyle w:val="InternetLink"/>
                  <w:rFonts w:ascii="Times New Roman;serif" w:hAnsi="Times New Roman;serif"/>
                  <w:b w:val="false"/>
                  <w:color w:val="000080"/>
                  <w:sz w:val="20"/>
                  <w:u w:val="single"/>
                </w:rPr>
                <w:t xml:space="preserve"> the Refinancing Revolving Lenders, and JPMorgan Chase Bank, N.A., as First Lien Administrative Agent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001-39729</w:t>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7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2024-03-04</w:t>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10.37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52">
              <w:r>
                <w:rPr>
                  <w:rStyle w:val="InternetLink"/>
                  <w:rFonts w:ascii="Times New Roman;serif" w:hAnsi="Times New Roman;serif"/>
                  <w:b w:val="false"/>
                  <w:color w:val="0000FF"/>
                  <w:sz w:val="20"/>
                  <w:u w:val="single"/>
                </w:rPr>
                <w:t>Amendment No. 4 to First Lien Credit Agreement, dated as of May 30, 2024, among Sotera Health Company, Sotera Health Holdings, LLC, each Term and Revolving Lender party and JPMorgan Chase Bank, N.A., as First Lien Administrative Agent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67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001-39729</w:t>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7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2024-08-05</w:t>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10.38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3">
              <w:r>
                <w:rPr>
                  <w:rStyle w:val="InternetLink"/>
                  <w:rFonts w:ascii="Times New Roman;serif" w:hAnsi="Times New Roman;serif"/>
                  <w:b w:val="false"/>
                  <w:color w:val="0000FF"/>
                  <w:sz w:val="20"/>
                  <w:u w:val="single"/>
                </w:rPr>
                <w:t>Amendment No. 5 to the First Lien Credit Agreement, dated as of April 30, 2025, by and among Sotera Health Company, Sotera Health Holdings, LLC, certain subsidiaries of Sotera Health Company, JPMorgan Chase Bank, N.A., as First Lien Administrative Agent and the lenders and issuing banks party thereto</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67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001-39729</w:t>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7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2025-05-01</w:t>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10.39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4">
              <w:r>
                <w:rPr>
                  <w:rStyle w:val="InternetLink"/>
                  <w:rFonts w:ascii="Times New Roman;serif" w:hAnsi="Times New Roman;serif"/>
                  <w:b w:val="false"/>
                  <w:color w:val="0000FF"/>
                  <w:sz w:val="20"/>
                  <w:u w:val="single"/>
                </w:rPr>
                <w:t>Amendment No. 6, dated as of September 17, 2025, to the First Lien Credit Agreement dated as of December 13, 2019 by and among Sotera Health Company, Sotera Health Holdings, LLC, certain subsidiaries of Sotera Health Company, JPMorgan Chase Bank, N.A., as First Lien Administrative Agent, and the 2025 Refinancing Term Lenders party thereto</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001-39729</w:t>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7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2025-09-18</w:t>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10.40+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5">
              <w:r>
                <w:rPr>
                  <w:rStyle w:val="InternetLink"/>
                  <w:rFonts w:ascii="Times New Roman;serif" w:hAnsi="Times New Roman;serif"/>
                  <w:b w:val="false"/>
                  <w:color w:val="0000FF"/>
                  <w:sz w:val="20"/>
                  <w:u w:val="single"/>
                </w:rPr>
                <w:t>Form of Sotera Health Company 2020 Omnibus Incentive Plan Restricted Stock Unit Grant Notice (As Amended) and Agreement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10-K</w:t>
            </w:r>
          </w:p>
        </w:tc>
        <w:tc>
          <w:tcPr>
            <w:tcW w:w="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001-39729</w:t>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10.48</w:t>
            </w:r>
          </w:p>
        </w:tc>
        <w:tc>
          <w:tcPr>
            <w:tcW w:w="7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2023-02-28</w:t>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6">
              <w:r>
                <w:rPr>
                  <w:rStyle w:val="InternetLink"/>
                  <w:rFonts w:ascii="Times New Roman;serif" w:hAnsi="Times New Roman;serif"/>
                  <w:b w:val="false"/>
                  <w:color w:val="0000FF"/>
                  <w:sz w:val="20"/>
                  <w:u w:val="single"/>
                </w:rPr>
                <w:t>Form of Sotera Health Company 2020 Omnibus Incentive Plan Stock Option Grant Notice (As Amended) and Agreement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10-K</w:t>
            </w:r>
          </w:p>
        </w:tc>
        <w:tc>
          <w:tcPr>
            <w:tcW w:w="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001-39729</w:t>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10.49</w:t>
            </w:r>
          </w:p>
        </w:tc>
        <w:tc>
          <w:tcPr>
            <w:tcW w:w="7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2023-02-28</w:t>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shc20251231_exhibitx10x42.htm">
              <w:r>
                <w:rPr>
                  <w:rStyle w:val="InternetLink"/>
                  <w:rFonts w:ascii="Times New Roman;serif" w:hAnsi="Times New Roman;serif"/>
                  <w:b w:val="false"/>
                  <w:color w:val="0000FF"/>
                  <w:sz w:val="20"/>
                  <w:u w:val="single"/>
                </w:rPr>
                <w:t>Form of Restricted Stock Unit Grant Notice and Agreement (under 2020 Omnibus Incentive Plan) (for Chief Executive Officer grants starting in 2025)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shc20251231_exhibitx10x43.htm">
              <w:r>
                <w:rPr>
                  <w:rStyle w:val="InternetLink"/>
                  <w:rFonts w:ascii="Times New Roman;serif" w:hAnsi="Times New Roman;serif"/>
                  <w:b w:val="false"/>
                  <w:color w:val="0000FF"/>
                  <w:sz w:val="20"/>
                  <w:u w:val="single"/>
                </w:rPr>
                <w:t>Form of Restricted Stock Unit Grant Notice, Agreement and Performance Memo (under 2020 Omnibus Incentive Plan) (for other executive grants starting in 2025)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shc20251231_exhibitx10x44.htm">
              <w:r>
                <w:rPr>
                  <w:rStyle w:val="InternetLink"/>
                  <w:rFonts w:ascii="Times New Roman;serif" w:hAnsi="Times New Roman;serif"/>
                  <w:b w:val="false"/>
                  <w:color w:val="0000FF"/>
                  <w:sz w:val="20"/>
                  <w:u w:val="single"/>
                </w:rPr>
                <w:t>Form of Restricted Stock Unit Grant Notice and Agreement (under 2020 Omnibus Incentive Plan) (retention awards)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shc20251231_exhibitx10x45.htm">
              <w:r>
                <w:rPr>
                  <w:rStyle w:val="InternetLink"/>
                  <w:rFonts w:ascii="Times New Roman;serif" w:hAnsi="Times New Roman;serif"/>
                  <w:b w:val="false"/>
                  <w:color w:val="000080"/>
                  <w:sz w:val="20"/>
                  <w:u w:val="single"/>
                </w:rPr>
                <w:t xml:space="preserve">Form </w:t>
              </w:r>
            </w:hyperlink>
            <w:hyperlink w:anchor="shc20251231_exhibitx10x45.htm">
              <w:r>
                <w:rPr>
                  <w:rStyle w:val="InternetLink"/>
                  <w:rFonts w:ascii="Times New Roman;serif" w:hAnsi="Times New Roman;serif"/>
                  <w:b w:val="false"/>
                  <w:color w:val="000080"/>
                  <w:sz w:val="20"/>
                  <w:u w:val="single"/>
                </w:rPr>
                <w:t xml:space="preserve">of </w:t>
              </w:r>
            </w:hyperlink>
            <w:hyperlink w:anchor="shc20251231_exhibitx10x45.htm">
              <w:r>
                <w:rPr>
                  <w:rStyle w:val="InternetLink"/>
                  <w:rFonts w:ascii="Times New Roman;serif" w:hAnsi="Times New Roman;serif"/>
                  <w:b w:val="false"/>
                  <w:color w:val="000080"/>
                  <w:sz w:val="20"/>
                  <w:u w:val="single"/>
                </w:rPr>
                <w:t>Performance Share Unit Grant Notice, Agreement and Performance Memo (under 2020 Omnibus Incentive Plan) (for Chief Executive Officer share appreciation unit grants starting in 2025)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46685"/>
                <wp:effectExtent l="0" t="0" r="0" b="0"/>
                <wp:wrapNone/>
                <wp:docPr id="122" name="Frame1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120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120</w:t>
                      </w:r>
                    </w:p>
                  </w:txbxContent>
                </v:textbox>
                <w10:wrap type="none"/>
              </v:rect>
            </w:pict>
          </mc:Fallback>
        </mc:AlternateContent>
      </w:r>
    </w:p>
    <w:p>
      <w:pPr>
        <w:pStyle w:val="TextBody"/>
        <w:bidi w:val="0"/>
        <w:spacing w:lineRule="auto" w:line="333" w:before="0" w:after="0"/>
        <w:jc w:val="left"/>
        <w:rPr/>
      </w:pPr>
      <w:hyperlink w:anchor="i27c953b2e3004595bc062f37867a09bd_7">
        <w:r>
          <w:rPr>
            <w:rStyle w:val="InternetLink"/>
            <w:rFonts w:ascii="Times New Roman;serif" w:hAnsi="Times New Roman;serif"/>
            <w:b w:val="false"/>
            <w:color w:val="0000FF"/>
            <w:sz w:val="16"/>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375"/>
        <w:gridCol w:w="330"/>
        <w:gridCol w:w="331"/>
        <w:gridCol w:w="109"/>
        <w:gridCol w:w="109"/>
        <w:gridCol w:w="109"/>
        <w:gridCol w:w="1559"/>
        <w:gridCol w:w="1317"/>
        <w:gridCol w:w="1321"/>
        <w:gridCol w:w="109"/>
        <w:gridCol w:w="109"/>
        <w:gridCol w:w="109"/>
        <w:gridCol w:w="405"/>
        <w:gridCol w:w="405"/>
        <w:gridCol w:w="406"/>
        <w:gridCol w:w="109"/>
        <w:gridCol w:w="109"/>
        <w:gridCol w:w="109"/>
        <w:gridCol w:w="195"/>
        <w:gridCol w:w="195"/>
        <w:gridCol w:w="196"/>
        <w:gridCol w:w="270"/>
        <w:gridCol w:w="270"/>
        <w:gridCol w:w="162"/>
        <w:gridCol w:w="245"/>
        <w:gridCol w:w="245"/>
        <w:gridCol w:w="246"/>
        <w:gridCol w:w="219"/>
        <w:gridCol w:w="219"/>
        <w:gridCol w:w="313"/>
      </w:tblGrid>
      <w:tr>
        <w:trPr/>
        <w:tc>
          <w:tcPr>
            <w:tcW w:w="375"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9"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Incorporated by Reference</w:t>
            </w:r>
          </w:p>
        </w:tc>
      </w:tr>
      <w:tr>
        <w:trPr/>
        <w:tc>
          <w:tcPr>
            <w:tcW w:w="10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 of Exhibits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Filed/Furnished Herewith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Form</w:t>
            </w:r>
          </w:p>
        </w:tc>
        <w:tc>
          <w:tcPr>
            <w:tcW w:w="70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File No.</w:t>
            </w:r>
          </w:p>
        </w:tc>
        <w:tc>
          <w:tcPr>
            <w:tcW w:w="7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w:t>
            </w:r>
          </w:p>
        </w:tc>
        <w:tc>
          <w:tcPr>
            <w:tcW w:w="7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Filing Date</w:t>
            </w:r>
          </w:p>
        </w:tc>
      </w:tr>
      <w:tr>
        <w:trPr/>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shc20251231_exhibitx10x46.htm">
              <w:r>
                <w:rPr>
                  <w:rStyle w:val="InternetLink"/>
                  <w:rFonts w:ascii="Times New Roman;serif" w:hAnsi="Times New Roman;serif"/>
                  <w:b w:val="false"/>
                  <w:color w:val="000080"/>
                  <w:sz w:val="20"/>
                  <w:u w:val="single"/>
                </w:rPr>
                <w:t>Form</w:t>
              </w:r>
            </w:hyperlink>
            <w:hyperlink w:anchor="shc20251231_exhibitx10x46.htm">
              <w:r>
                <w:rPr>
                  <w:rStyle w:val="InternetLink"/>
                  <w:rFonts w:ascii="Times New Roman;serif" w:hAnsi="Times New Roman;serif"/>
                  <w:b w:val="false"/>
                  <w:color w:val="000080"/>
                  <w:sz w:val="20"/>
                  <w:u w:val="single"/>
                </w:rPr>
                <w:t xml:space="preserve"> of</w:t>
              </w:r>
            </w:hyperlink>
            <w:hyperlink w:anchor="shc20251231_exhibitx10x46.htm">
              <w:r>
                <w:rPr>
                  <w:rStyle w:val="InternetLink"/>
                  <w:rFonts w:ascii="Times New Roman;serif" w:hAnsi="Times New Roman;serif"/>
                  <w:b w:val="false"/>
                  <w:color w:val="000080"/>
                  <w:sz w:val="20"/>
                  <w:u w:val="single"/>
                </w:rPr>
                <w:t xml:space="preserve"> Performance Share Unit Grant Notice, Agreement and Performance Memo (under 2020 Omnibus Incentive Plan) (other executive grants starting 2025)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shc20251231_exhibitx10x47.htm">
              <w:r>
                <w:rPr>
                  <w:rStyle w:val="InternetLink"/>
                  <w:rFonts w:ascii="Times New Roman;serif" w:hAnsi="Times New Roman;serif"/>
                  <w:b w:val="false"/>
                  <w:color w:val="000080"/>
                  <w:sz w:val="20"/>
                  <w:u w:val="single"/>
                </w:rPr>
                <w:t>Form</w:t>
              </w:r>
            </w:hyperlink>
            <w:hyperlink w:anchor="shc20251231_exhibitx10x47.htm">
              <w:r>
                <w:rPr>
                  <w:rStyle w:val="InternetLink"/>
                  <w:rFonts w:ascii="Times New Roman;serif" w:hAnsi="Times New Roman;serif"/>
                  <w:b w:val="false"/>
                  <w:color w:val="000080"/>
                  <w:sz w:val="20"/>
                  <w:u w:val="single"/>
                </w:rPr>
                <w:t xml:space="preserve"> of</w:t>
              </w:r>
            </w:hyperlink>
            <w:hyperlink w:anchor="shc20251231_exhibitx10x47.htm">
              <w:r>
                <w:rPr>
                  <w:rStyle w:val="InternetLink"/>
                  <w:rFonts w:ascii="Times New Roman;serif" w:hAnsi="Times New Roman;serif"/>
                  <w:b w:val="false"/>
                  <w:color w:val="000080"/>
                  <w:sz w:val="20"/>
                  <w:u w:val="single"/>
                </w:rPr>
                <w:t xml:space="preserve"> Performance Share Unit Grant Notice, Agreement and Performance Memo (under 2020 Omnibus Incentive Plan) (for Chief Executive Officer performance share unit grants starting in 2025)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shc20251231_exhibitx10x48.htm">
              <w:r>
                <w:rPr>
                  <w:rStyle w:val="InternetLink"/>
                  <w:rFonts w:ascii="Times New Roman;serif" w:hAnsi="Times New Roman;serif"/>
                  <w:b w:val="false"/>
                  <w:color w:val="0000FF"/>
                  <w:sz w:val="20"/>
                  <w:u w:val="single"/>
                </w:rPr>
                <w:t>Cash Retention Bonus Agreement, dated as of March 3, 2025, by and between the Company and Jonathan M. Lyons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7">
              <w:r>
                <w:rPr>
                  <w:rStyle w:val="InternetLink"/>
                  <w:rFonts w:ascii="Times New Roman;serif" w:hAnsi="Times New Roman;serif"/>
                  <w:b w:val="false"/>
                  <w:color w:val="0000FF"/>
                  <w:sz w:val="20"/>
                  <w:u w:val="single"/>
                </w:rPr>
                <w:t>Insider Trading Policy of Sotera Health Company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10-K</w:t>
            </w:r>
          </w:p>
        </w:tc>
        <w:tc>
          <w:tcPr>
            <w:tcW w:w="7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001-39729</w:t>
            </w:r>
          </w:p>
        </w:tc>
        <w:tc>
          <w:tcPr>
            <w:tcW w:w="73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19.1</w:t>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2025-02-27</w:t>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shc20251231_exhibitx21x1.htm">
              <w:r>
                <w:rPr>
                  <w:rStyle w:val="InternetLink"/>
                  <w:rFonts w:ascii="Times New Roman;serif" w:hAnsi="Times New Roman;serif"/>
                  <w:b w:val="false"/>
                  <w:color w:val="0000FF"/>
                  <w:sz w:val="20"/>
                  <w:u w:val="single"/>
                </w:rPr>
                <w:t>List of Subsidiaries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shc20251231_exhibitx23x1.htm">
              <w:r>
                <w:rPr>
                  <w:rStyle w:val="InternetLink"/>
                  <w:rFonts w:ascii="Times New Roman;serif" w:hAnsi="Times New Roman;serif"/>
                  <w:b w:val="false"/>
                  <w:color w:val="0000FF"/>
                  <w:sz w:val="20"/>
                  <w:u w:val="single"/>
                </w:rPr>
                <w:t>Consent of Ernst &amp; Young LLP, Independent Registered Public Accounting Firm</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shc20251231_exhibitx31x1.htm">
              <w:r>
                <w:rPr>
                  <w:rStyle w:val="InternetLink"/>
                  <w:rFonts w:ascii="Times New Roman;serif" w:hAnsi="Times New Roman;serif"/>
                  <w:b w:val="false"/>
                  <w:color w:val="0000FF"/>
                  <w:sz w:val="20"/>
                  <w:u w:val="single"/>
                </w:rPr>
                <w:t>Certification of Principal Executive Officer pursuant to Exchange Act Rules 13a-14(a) and 15d-14(a), as adopted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shc20251231_exhibitx31x2.htm">
              <w:r>
                <w:rPr>
                  <w:rStyle w:val="InternetLink"/>
                  <w:rFonts w:ascii="Times New Roman;serif" w:hAnsi="Times New Roman;serif"/>
                  <w:b w:val="false"/>
                  <w:color w:val="0000FF"/>
                  <w:sz w:val="20"/>
                  <w:u w:val="single"/>
                </w:rPr>
                <w:t>Certification of Principal Financial Officer pursuant to Exchange Act Rules 13a-14(a) and 15d-14(a), as adopted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shc20251231_exhibitx32x1.htm">
              <w:r>
                <w:rPr>
                  <w:rStyle w:val="InternetLink"/>
                  <w:rFonts w:ascii="Times New Roman;serif" w:hAnsi="Times New Roman;serif"/>
                  <w:b w:val="false"/>
                  <w:color w:val="0000FF"/>
                  <w:sz w:val="20"/>
                  <w:u w:val="single"/>
                </w:rPr>
                <w:t>Certifications of Principal Executive Officer and Principal Financial Officer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97.1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8">
              <w:r>
                <w:rPr>
                  <w:rStyle w:val="InternetLink"/>
                  <w:rFonts w:ascii="Times New Roman;serif" w:hAnsi="Times New Roman;serif"/>
                  <w:b w:val="false"/>
                  <w:color w:val="0000FF"/>
                  <w:sz w:val="20"/>
                  <w:u w:val="single"/>
                </w:rPr>
                <w:t>Sotera Health Company Policy for the Recovery of Erroneously Awarded Compensation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10-K</w:t>
            </w:r>
          </w:p>
        </w:tc>
        <w:tc>
          <w:tcPr>
            <w:tcW w:w="7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001-39729</w:t>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97.1</w:t>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2024-02-27</w:t>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Inline XBRL Instance Document - The XBRL Instance Document does not appear in the Interactive Data File because its XBRL tags are embedded within the Inline XBRL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46685"/>
                <wp:effectExtent l="0" t="0" r="0" b="0"/>
                <wp:wrapNone/>
                <wp:docPr id="123" name="Frame1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121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121</w:t>
                      </w:r>
                    </w:p>
                  </w:txbxContent>
                </v:textbox>
                <w10:wrap type="none"/>
              </v:rect>
            </w:pict>
          </mc:Fallback>
        </mc:AlternateContent>
      </w:r>
    </w:p>
    <w:p>
      <w:pPr>
        <w:pStyle w:val="TextBody"/>
        <w:bidi w:val="0"/>
        <w:spacing w:lineRule="auto" w:line="333" w:before="0" w:after="0"/>
        <w:jc w:val="left"/>
        <w:rPr/>
      </w:pPr>
      <w:hyperlink w:anchor="i27c953b2e3004595bc062f37867a09bd_7">
        <w:r>
          <w:rPr>
            <w:rStyle w:val="InternetLink"/>
            <w:rFonts w:ascii="Times New Roman;serif" w:hAnsi="Times New Roman;serif"/>
            <w:b w:val="false"/>
            <w:color w:val="0000FF"/>
            <w:sz w:val="16"/>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375"/>
        <w:gridCol w:w="330"/>
        <w:gridCol w:w="331"/>
        <w:gridCol w:w="109"/>
        <w:gridCol w:w="109"/>
        <w:gridCol w:w="109"/>
        <w:gridCol w:w="1306"/>
        <w:gridCol w:w="1289"/>
        <w:gridCol w:w="1293"/>
        <w:gridCol w:w="109"/>
        <w:gridCol w:w="109"/>
        <w:gridCol w:w="109"/>
        <w:gridCol w:w="513"/>
        <w:gridCol w:w="513"/>
        <w:gridCol w:w="515"/>
        <w:gridCol w:w="109"/>
        <w:gridCol w:w="109"/>
        <w:gridCol w:w="109"/>
        <w:gridCol w:w="195"/>
        <w:gridCol w:w="195"/>
        <w:gridCol w:w="196"/>
        <w:gridCol w:w="220"/>
        <w:gridCol w:w="186"/>
        <w:gridCol w:w="173"/>
        <w:gridCol w:w="245"/>
        <w:gridCol w:w="245"/>
        <w:gridCol w:w="246"/>
        <w:gridCol w:w="250"/>
        <w:gridCol w:w="250"/>
        <w:gridCol w:w="358"/>
      </w:tblGrid>
      <w:tr>
        <w:trPr/>
        <w:tc>
          <w:tcPr>
            <w:tcW w:w="375"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9"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Incorporated by Reference</w:t>
            </w:r>
          </w:p>
        </w:tc>
      </w:tr>
      <w:tr>
        <w:trPr/>
        <w:tc>
          <w:tcPr>
            <w:tcW w:w="10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 of Exhibits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Filed/Furnished Herewith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Form</w:t>
            </w:r>
          </w:p>
        </w:tc>
        <w:tc>
          <w:tcPr>
            <w:tcW w:w="57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File No.</w:t>
            </w:r>
          </w:p>
        </w:tc>
        <w:tc>
          <w:tcPr>
            <w:tcW w:w="7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w:t>
            </w:r>
          </w:p>
        </w:tc>
        <w:tc>
          <w:tcPr>
            <w:tcW w:w="85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Filing Date</w:t>
            </w:r>
          </w:p>
        </w:tc>
      </w:tr>
      <w:tr>
        <w:trPr/>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Label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Inline XBRL Taxonomy Extension Presentation Linkbase Document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88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Filed Herewith</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Furnished Herewith</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Denotes management contract or compensatory plan or arrangement.</w:t>
      </w:r>
    </w:p>
    <w:p>
      <w:pPr>
        <w:pStyle w:val="TextBody"/>
        <w:bidi w:val="0"/>
        <w:spacing w:lineRule="auto" w:line="288" w:before="0" w:after="0"/>
        <w:ind w:left="0" w:right="0" w:hanging="360"/>
        <w:jc w:val="left"/>
        <w:rPr>
          <w:color w:val="000000"/>
        </w:rPr>
      </w:pPr>
      <w:r>
        <w:rPr>
          <w:color w:val="000000"/>
        </w:rPr>
        <w:t>†    </w:t>
      </w:r>
      <w:r>
        <w:rPr>
          <w:rFonts w:ascii="Times New Roman;serif" w:hAnsi="Times New Roman;serif"/>
          <w:b w:val="false"/>
          <w:color w:val="000000"/>
          <w:sz w:val="20"/>
        </w:rPr>
        <w:t>Certain confidential portions of this exhibit have been redacted pursuant to Item 601(b)(10)(iv) of Regulation S-K. The omitted information is (i) not material, and (ii) would likely cause us competitive harm if publicly disclosed. We agree to furnish supplementally an unredacted copy of the exhibit to the Securities and Exchange Commission on its request.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16. Form 10-K Summary</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46685"/>
                <wp:effectExtent l="0" t="0" r="0" b="0"/>
                <wp:wrapNone/>
                <wp:docPr id="124" name="Frame1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122</w:t>
                      </w:r>
                    </w:p>
                  </w:txbxContent>
                </v:textbox>
                <w10:wrap type="none"/>
              </v:rect>
            </w:pict>
          </mc:Fallback>
        </mc:AlternateContent>
      </w:r>
    </w:p>
    <w:p>
      <w:pPr>
        <w:pStyle w:val="TextBody"/>
        <w:bidi w:val="0"/>
        <w:spacing w:lineRule="auto" w:line="333" w:before="0" w:after="0"/>
        <w:jc w:val="left"/>
        <w:rPr/>
      </w:pPr>
      <w:hyperlink w:anchor="i27c953b2e3004595bc062f37867a09bd_7">
        <w:r>
          <w:rPr>
            <w:rStyle w:val="InternetLink"/>
            <w:rFonts w:ascii="Times New Roman;serif" w:hAnsi="Times New Roman;serif"/>
            <w:b w:val="false"/>
            <w:color w:val="0000FF"/>
            <w:sz w:val="16"/>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4459" w:type="dxa"/>
        <w:jc w:val="left"/>
        <w:tblInd w:w="0" w:type="dxa"/>
        <w:tblLayout w:type="fixed"/>
        <w:tblCellMar>
          <w:top w:w="28" w:type="dxa"/>
          <w:left w:w="28" w:type="dxa"/>
          <w:bottom w:w="28" w:type="dxa"/>
          <w:right w:w="28" w:type="dxa"/>
        </w:tblCellMar>
      </w:tblPr>
      <w:tblGrid>
        <w:gridCol w:w="124"/>
        <w:gridCol w:w="109"/>
        <w:gridCol w:w="109"/>
        <w:gridCol w:w="288"/>
        <w:gridCol w:w="288"/>
        <w:gridCol w:w="288"/>
        <w:gridCol w:w="507"/>
        <w:gridCol w:w="507"/>
        <w:gridCol w:w="507"/>
        <w:gridCol w:w="507"/>
        <w:gridCol w:w="507"/>
        <w:gridCol w:w="71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7"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SOTERA HEALTH COMPANY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53"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Michael B. Petras, Jr.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325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Michael B. Petras, Jr.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325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Chairman and Chief Executive Officer</w:t>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Date: February 24, 2026</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this report has been signed below by the following persons on behalf of the Registrant and in the capacities and on the dates indicated.</w:t>
      </w:r>
    </w:p>
    <w:tbl>
      <w:tblPr>
        <w:tblW w:w="8499" w:type="dxa"/>
        <w:jc w:val="left"/>
        <w:tblInd w:w="0" w:type="dxa"/>
        <w:tblLayout w:type="fixed"/>
        <w:tblCellMar>
          <w:top w:w="28" w:type="dxa"/>
          <w:left w:w="28" w:type="dxa"/>
          <w:bottom w:w="28" w:type="dxa"/>
          <w:right w:w="28" w:type="dxa"/>
        </w:tblCellMar>
      </w:tblPr>
      <w:tblGrid>
        <w:gridCol w:w="764"/>
        <w:gridCol w:w="671"/>
        <w:gridCol w:w="680"/>
        <w:gridCol w:w="109"/>
        <w:gridCol w:w="109"/>
        <w:gridCol w:w="109"/>
        <w:gridCol w:w="1359"/>
        <w:gridCol w:w="1359"/>
        <w:gridCol w:w="1377"/>
        <w:gridCol w:w="109"/>
        <w:gridCol w:w="109"/>
        <w:gridCol w:w="109"/>
        <w:gridCol w:w="477"/>
        <w:gridCol w:w="477"/>
        <w:gridCol w:w="681"/>
      </w:tblGrid>
      <w:tr>
        <w:trPr/>
        <w:tc>
          <w:tcPr>
            <w:tcW w:w="76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13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Date</w:t>
            </w:r>
          </w:p>
        </w:tc>
      </w:tr>
      <w:tr>
        <w:trPr/>
        <w:tc>
          <w:tcPr>
            <w:tcW w:w="21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Michael B. Petras, Jr.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Chairman and Chief Executive Officer </w:t>
              <w:br/>
              <w:t>(Principal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24, 2026</w:t>
            </w:r>
          </w:p>
        </w:tc>
      </w:tr>
      <w:tr>
        <w:trPr/>
        <w:tc>
          <w:tcPr>
            <w:tcW w:w="21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Michael B. Petras, Jr.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 Jonathan M. Lyons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Senior Vice President and Chief Financial Officer</w:t>
              <w:br/>
              <w:t>(Principal Financial and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24, 2026</w:t>
            </w:r>
          </w:p>
        </w:tc>
      </w:tr>
      <w:tr>
        <w:trPr/>
        <w:tc>
          <w:tcPr>
            <w:tcW w:w="21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Jonathan M. Lyons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Ruoxi Chen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24, 2026</w:t>
            </w:r>
          </w:p>
        </w:tc>
      </w:tr>
      <w:tr>
        <w:trPr/>
        <w:tc>
          <w:tcPr>
            <w:tcW w:w="21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Ruoxi Chen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Sean L. Cunningham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24, 2026</w:t>
            </w:r>
          </w:p>
        </w:tc>
      </w:tr>
      <w:tr>
        <w:trPr/>
        <w:tc>
          <w:tcPr>
            <w:tcW w:w="21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Sean L. Cunningham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Karen A. Flynn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24, 2026</w:t>
            </w:r>
          </w:p>
        </w:tc>
      </w:tr>
      <w:tr>
        <w:trPr/>
        <w:tc>
          <w:tcPr>
            <w:tcW w:w="21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Karen A. Flynn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Ann R. Klee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24, 2026</w:t>
            </w:r>
          </w:p>
        </w:tc>
      </w:tr>
      <w:tr>
        <w:trPr/>
        <w:tc>
          <w:tcPr>
            <w:tcW w:w="21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Ann R. Klee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 Richard G. Kyle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24, 2026</w:t>
            </w:r>
          </w:p>
        </w:tc>
      </w:tr>
      <w:tr>
        <w:trPr/>
        <w:tc>
          <w:tcPr>
            <w:tcW w:w="21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Richard G. Kyle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Robert B. Knauss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24, 2026</w:t>
            </w:r>
          </w:p>
        </w:tc>
      </w:tr>
      <w:tr>
        <w:trPr/>
        <w:tc>
          <w:tcPr>
            <w:tcW w:w="21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Robert B. Knauss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Constantine S. Mihas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24, 2026</w:t>
            </w:r>
          </w:p>
        </w:tc>
      </w:tr>
      <w:tr>
        <w:trPr/>
        <w:tc>
          <w:tcPr>
            <w:tcW w:w="21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Constantine S. Mihas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James C. Neary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24, 2026</w:t>
            </w:r>
          </w:p>
        </w:tc>
      </w:tr>
      <w:tr>
        <w:trPr/>
        <w:tc>
          <w:tcPr>
            <w:tcW w:w="21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James C. Neary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Vincent K. Petrella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24, 2026</w:t>
            </w:r>
          </w:p>
        </w:tc>
      </w:tr>
      <w:tr>
        <w:trPr/>
        <w:tc>
          <w:tcPr>
            <w:tcW w:w="21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Vincent K. Petrella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 Christopher A. Simon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24, 2026</w:t>
            </w:r>
          </w:p>
        </w:tc>
      </w:tr>
      <w:tr>
        <w:trPr/>
        <w:tc>
          <w:tcPr>
            <w:tcW w:w="21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Christopher A. Simon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David E. Wheadon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24, 2026</w:t>
            </w:r>
          </w:p>
        </w:tc>
      </w:tr>
      <w:tr>
        <w:trPr/>
        <w:tc>
          <w:tcPr>
            <w:tcW w:w="21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David E. Wheadon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10.42</w:t>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46685"/>
                <wp:effectExtent l="0" t="0" r="0" b="0"/>
                <wp:wrapNone/>
                <wp:docPr id="125" name="Frame1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14.2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123</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SOTERA HEALTH COMPANY</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2020 OMNIBUS INCENTIVE PLAN</w:t>
      </w:r>
    </w:p>
    <w:p>
      <w:pPr>
        <w:pStyle w:val="TextBody"/>
        <w:bidi w:val="0"/>
        <w:spacing w:lineRule="auto" w:line="288" w:before="240" w:after="240"/>
        <w:jc w:val="center"/>
        <w:rPr>
          <w:rFonts w:ascii="Times New Roman;serif" w:hAnsi="Times New Roman;serif"/>
          <w:b/>
          <w:color w:val="000000"/>
          <w:sz w:val="20"/>
          <w:u w:val="single"/>
        </w:rPr>
      </w:pPr>
      <w:r>
        <w:rPr>
          <w:rFonts w:ascii="Times New Roman;serif" w:hAnsi="Times New Roman;serif"/>
          <w:b/>
          <w:color w:val="000000"/>
          <w:sz w:val="20"/>
          <w:u w:val="single"/>
        </w:rPr>
        <w:t>RESTRICTED STOCK UNIT GRANT NOTICE</w:t>
      </w:r>
    </w:p>
    <w:p>
      <w:pPr>
        <w:pStyle w:val="TextBody"/>
        <w:bidi w:val="0"/>
        <w:spacing w:lineRule="auto" w:line="288" w:before="0" w:after="240"/>
        <w:ind w:left="0" w:right="0" w:firstLine="720"/>
        <w:jc w:val="both"/>
        <w:rPr/>
      </w:pPr>
      <w:r>
        <w:rPr>
          <w:rFonts w:ascii="Times New Roman;serif" w:hAnsi="Times New Roman;serif"/>
          <w:b w:val="false"/>
          <w:color w:val="000000"/>
          <w:sz w:val="20"/>
        </w:rPr>
        <w:t>Sotera Health Company, a Delaware corporation (the “</w:t>
      </w:r>
      <w:r>
        <w:rPr>
          <w:rFonts w:ascii="Times New Roman;serif" w:hAnsi="Times New Roman;serif"/>
          <w:b w:val="false"/>
          <w:color w:val="000000"/>
          <w:sz w:val="20"/>
          <w:u w:val="single"/>
        </w:rPr>
        <w:t>Company</w:t>
      </w:r>
      <w:r>
        <w:rPr>
          <w:color w:val="000000"/>
        </w:rPr>
        <w:t>”</w:t>
      </w:r>
      <w:r>
        <w:rPr>
          <w:rFonts w:ascii="Times New Roman;serif" w:hAnsi="Times New Roman;serif"/>
          <w:b w:val="false"/>
          <w:color w:val="000000"/>
          <w:sz w:val="20"/>
        </w:rPr>
        <w:t>), pursuant to the Sotera Health Company 2020 Omnibus Incentive Plan and any applicable sub-plan for a particular country, as applicable (together, the “</w:t>
      </w:r>
      <w:r>
        <w:rPr>
          <w:rFonts w:ascii="Times New Roman;serif" w:hAnsi="Times New Roman;serif"/>
          <w:b w:val="false"/>
          <w:color w:val="000000"/>
          <w:sz w:val="20"/>
          <w:u w:val="single"/>
        </w:rPr>
        <w:t>Plan</w:t>
      </w:r>
      <w:r>
        <w:rPr>
          <w:color w:val="000000"/>
        </w:rPr>
        <w:t>”</w:t>
      </w:r>
      <w:r>
        <w:rPr>
          <w:rFonts w:ascii="Times New Roman;serif" w:hAnsi="Times New Roman;serif"/>
          <w:b w:val="false"/>
          <w:color w:val="000000"/>
          <w:sz w:val="20"/>
        </w:rPr>
        <w:t>), has granted to the participant set forth below (the “</w:t>
      </w:r>
      <w:r>
        <w:rPr>
          <w:rFonts w:ascii="Times New Roman;serif" w:hAnsi="Times New Roman;serif"/>
          <w:b w:val="false"/>
          <w:color w:val="000000"/>
          <w:sz w:val="20"/>
          <w:u w:val="single"/>
        </w:rPr>
        <w:t>Participant</w:t>
      </w:r>
      <w:r>
        <w:rPr>
          <w:color w:val="000000"/>
        </w:rPr>
        <w:t>”</w:t>
      </w:r>
      <w:r>
        <w:rPr>
          <w:rFonts w:ascii="Times New Roman;serif" w:hAnsi="Times New Roman;serif"/>
          <w:b w:val="false"/>
          <w:color w:val="000000"/>
          <w:sz w:val="20"/>
        </w:rPr>
        <w:t>), as of the date set forth below (the “</w:t>
      </w:r>
      <w:r>
        <w:rPr>
          <w:rFonts w:ascii="Times New Roman;serif" w:hAnsi="Times New Roman;serif"/>
          <w:b w:val="false"/>
          <w:color w:val="000000"/>
          <w:sz w:val="20"/>
          <w:u w:val="single"/>
        </w:rPr>
        <w:t>Date of Grant</w:t>
      </w:r>
      <w:r>
        <w:rPr>
          <w:color w:val="000000"/>
        </w:rPr>
        <w:t>”</w:t>
      </w:r>
      <w:r>
        <w:rPr>
          <w:rFonts w:ascii="Times New Roman;serif" w:hAnsi="Times New Roman;serif"/>
          <w:b w:val="false"/>
          <w:color w:val="000000"/>
          <w:sz w:val="20"/>
        </w:rPr>
        <w:t>), a Restricted Stock Unit award covering the number of units set forth below, each of which represents one Share of the Company’s Common Stock (the “</w:t>
      </w:r>
      <w:r>
        <w:rPr>
          <w:rFonts w:ascii="Times New Roman;serif" w:hAnsi="Times New Roman;serif"/>
          <w:b w:val="false"/>
          <w:color w:val="000000"/>
          <w:sz w:val="20"/>
          <w:u w:val="single"/>
        </w:rPr>
        <w:t>RSUs</w:t>
      </w:r>
      <w:r>
        <w:rPr>
          <w:color w:val="000000"/>
        </w:rPr>
        <w:t>”</w:t>
      </w:r>
      <w:r>
        <w:rPr>
          <w:rFonts w:ascii="Times New Roman;serif" w:hAnsi="Times New Roman;serif"/>
          <w:b w:val="false"/>
          <w:color w:val="000000"/>
          <w:sz w:val="20"/>
        </w:rPr>
        <w:t>). The RSUs are subject to all of the terms and conditions set forth in this Restricted Stock Unit Grant Notice (the “</w:t>
      </w:r>
      <w:r>
        <w:rPr>
          <w:rFonts w:ascii="Times New Roman;serif" w:hAnsi="Times New Roman;serif"/>
          <w:b w:val="false"/>
          <w:color w:val="000000"/>
          <w:sz w:val="20"/>
          <w:u w:val="single"/>
        </w:rPr>
        <w:t>Grant Notice</w:t>
      </w:r>
      <w:r>
        <w:rPr>
          <w:color w:val="000000"/>
        </w:rPr>
        <w:t>”</w:t>
      </w:r>
      <w:r>
        <w:rPr>
          <w:rFonts w:ascii="Times New Roman;serif" w:hAnsi="Times New Roman;serif"/>
          <w:b w:val="false"/>
          <w:color w:val="000000"/>
          <w:sz w:val="20"/>
        </w:rPr>
        <w:t>), the Restricted Stock Unit Agreement (the “</w:t>
      </w:r>
      <w:r>
        <w:rPr>
          <w:rFonts w:ascii="Times New Roman;serif" w:hAnsi="Times New Roman;serif"/>
          <w:b w:val="false"/>
          <w:color w:val="000000"/>
          <w:sz w:val="20"/>
          <w:u w:val="single"/>
        </w:rPr>
        <w:t>RSU Agreement</w:t>
      </w:r>
      <w:r>
        <w:rPr>
          <w:color w:val="000000"/>
        </w:rPr>
        <w:t>”</w:t>
      </w:r>
      <w:r>
        <w:rPr>
          <w:rFonts w:ascii="Times New Roman;serif" w:hAnsi="Times New Roman;serif"/>
          <w:b w:val="false"/>
          <w:color w:val="000000"/>
          <w:sz w:val="20"/>
        </w:rPr>
        <w:t>), and the Plan, each of which are being provided to you with this Grant Notice and incorporated herein in their entirety. Capitalized terms not explicitly defined in this Grant Notice but defined in the Plan or the RSU Agreement will have the same definitions as in the Plan or the RSU Agreement. In the event of any conflict between the terms of the Grant Notice and the Plan, the terms of the Plan will control.</w:t>
      </w:r>
    </w:p>
    <w:tbl>
      <w:tblPr>
        <w:tblW w:w="10205" w:type="dxa"/>
        <w:jc w:val="left"/>
        <w:tblInd w:w="0" w:type="dxa"/>
        <w:tblLayout w:type="fixed"/>
        <w:tblCellMar>
          <w:top w:w="28" w:type="dxa"/>
          <w:left w:w="28" w:type="dxa"/>
          <w:bottom w:w="28" w:type="dxa"/>
          <w:right w:w="28" w:type="dxa"/>
        </w:tblCellMar>
      </w:tblPr>
      <w:tblGrid>
        <w:gridCol w:w="715"/>
        <w:gridCol w:w="629"/>
        <w:gridCol w:w="597"/>
        <w:gridCol w:w="2420"/>
        <w:gridCol w:w="2420"/>
        <w:gridCol w:w="3424"/>
      </w:tblGrid>
      <w:tr>
        <w:trPr/>
        <w:tc>
          <w:tcPr>
            <w:tcW w:w="715"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2420" w:type="dxa"/>
            <w:tcBorders/>
            <w:vAlign w:val="center"/>
          </w:tcPr>
          <w:p>
            <w:pPr>
              <w:pStyle w:val="TableContents"/>
              <w:bidi w:val="0"/>
              <w:spacing w:before="0" w:after="283"/>
              <w:jc w:val="left"/>
              <w:rPr>
                <w:sz w:val="4"/>
                <w:szCs w:val="4"/>
              </w:rPr>
            </w:pPr>
            <w:r>
              <w:rPr>
                <w:sz w:val="4"/>
                <w:szCs w:val="4"/>
              </w:rPr>
            </w:r>
          </w:p>
        </w:tc>
        <w:tc>
          <w:tcPr>
            <w:tcW w:w="2420" w:type="dxa"/>
            <w:tcBorders/>
            <w:vAlign w:val="center"/>
          </w:tcPr>
          <w:p>
            <w:pPr>
              <w:pStyle w:val="TableContents"/>
              <w:bidi w:val="0"/>
              <w:spacing w:before="0" w:after="283"/>
              <w:jc w:val="left"/>
              <w:rPr>
                <w:sz w:val="4"/>
                <w:szCs w:val="4"/>
              </w:rPr>
            </w:pPr>
            <w:r>
              <w:rPr>
                <w:sz w:val="4"/>
                <w:szCs w:val="4"/>
              </w:rPr>
            </w:r>
          </w:p>
        </w:tc>
        <w:tc>
          <w:tcPr>
            <w:tcW w:w="3424" w:type="dxa"/>
            <w:tcBorders/>
            <w:vAlign w:val="center"/>
          </w:tcPr>
          <w:p>
            <w:pPr>
              <w:pStyle w:val="TableContents"/>
              <w:bidi w:val="0"/>
              <w:spacing w:before="0" w:after="283"/>
              <w:jc w:val="left"/>
              <w:rPr>
                <w:sz w:val="4"/>
                <w:szCs w:val="4"/>
              </w:rPr>
            </w:pPr>
            <w:r>
              <w:rPr>
                <w:sz w:val="4"/>
                <w:szCs w:val="4"/>
              </w:rPr>
            </w:r>
          </w:p>
        </w:tc>
      </w:tr>
      <w:tr>
        <w:trPr/>
        <w:tc>
          <w:tcPr>
            <w:tcW w:w="1941"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1. Participant:</w:t>
            </w:r>
          </w:p>
        </w:tc>
        <w:tc>
          <w:tcPr>
            <w:tcW w:w="8264"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20"/>
              </w:rPr>
            </w:pPr>
            <w:r>
              <w:rPr>
                <w:rFonts w:ascii="Times New Roman;serif" w:hAnsi="Times New Roman;serif"/>
                <w:b w:val="false"/>
                <w:color w:val="000000"/>
                <w:sz w:val="20"/>
              </w:rPr>
              <w:t>__________</w:t>
            </w:r>
          </w:p>
        </w:tc>
      </w:tr>
      <w:tr>
        <w:trPr/>
        <w:tc>
          <w:tcPr>
            <w:tcW w:w="1941"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2. Date of Grant:</w:t>
            </w:r>
          </w:p>
        </w:tc>
        <w:tc>
          <w:tcPr>
            <w:tcW w:w="8264"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20"/>
              </w:rPr>
            </w:pPr>
            <w:r>
              <w:rPr>
                <w:rFonts w:ascii="Times New Roman;serif" w:hAnsi="Times New Roman;serif"/>
                <w:b w:val="false"/>
                <w:color w:val="000000"/>
                <w:sz w:val="20"/>
              </w:rPr>
              <w:t>__________</w:t>
            </w:r>
          </w:p>
        </w:tc>
      </w:tr>
      <w:tr>
        <w:trPr/>
        <w:tc>
          <w:tcPr>
            <w:tcW w:w="1941" w:type="dxa"/>
            <w:gridSpan w:val="3"/>
            <w:tcBorders/>
            <w:tcMar>
              <w:top w:w="0" w:type="dxa"/>
              <w:left w:w="0" w:type="dxa"/>
              <w:bottom w:w="0" w:type="dxa"/>
              <w:right w:w="0" w:type="dxa"/>
            </w:tcMar>
            <w:vAlign w:val="center"/>
          </w:tcPr>
          <w:p>
            <w:pPr>
              <w:pStyle w:val="TableContents"/>
              <w:bidi w:val="0"/>
              <w:spacing w:lineRule="auto" w:line="288" w:before="0" w:after="0"/>
              <w:ind w:left="0" w:right="0" w:hanging="4320"/>
              <w:jc w:val="left"/>
              <w:rPr>
                <w:rFonts w:ascii="Times New Roman;serif" w:hAnsi="Times New Roman;serif"/>
                <w:b/>
                <w:color w:val="000000"/>
                <w:sz w:val="20"/>
              </w:rPr>
            </w:pPr>
            <w:r>
              <w:rPr>
                <w:rFonts w:ascii="Times New Roman;serif" w:hAnsi="Times New Roman;serif"/>
                <w:b/>
                <w:color w:val="000000"/>
                <w:sz w:val="20"/>
              </w:rPr>
              <w:t xml:space="preserve">3. Vesting Commencement Date </w:t>
            </w:r>
          </w:p>
          <w:p>
            <w:pPr>
              <w:pStyle w:val="TableContents"/>
              <w:bidi w:val="0"/>
              <w:spacing w:lineRule="auto" w:line="288" w:before="0" w:after="240"/>
              <w:jc w:val="left"/>
              <w:rPr/>
            </w:pPr>
            <w:r>
              <w:rPr>
                <w:rFonts w:ascii="Times New Roman;serif" w:hAnsi="Times New Roman;serif"/>
                <w:b/>
                <w:color w:val="000000"/>
                <w:sz w:val="20"/>
              </w:rPr>
              <w:t>(the “</w:t>
            </w:r>
            <w:r>
              <w:rPr>
                <w:rFonts w:ascii="Times New Roman;serif" w:hAnsi="Times New Roman;serif"/>
                <w:b/>
                <w:color w:val="000000"/>
                <w:sz w:val="20"/>
                <w:u w:val="single"/>
              </w:rPr>
              <w:t>Vesting Commencement Date</w:t>
            </w:r>
            <w:r>
              <w:rPr>
                <w:color w:val="000000"/>
              </w:rPr>
              <w:t>”</w:t>
            </w:r>
            <w:r>
              <w:rPr>
                <w:rFonts w:ascii="Times New Roman;serif" w:hAnsi="Times New Roman;serif"/>
                <w:b/>
                <w:color w:val="000000"/>
                <w:sz w:val="20"/>
              </w:rPr>
              <w:t>):</w:t>
            </w:r>
          </w:p>
        </w:tc>
        <w:tc>
          <w:tcPr>
            <w:tcW w:w="8264"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20"/>
              </w:rPr>
            </w:pPr>
            <w:r>
              <w:rPr>
                <w:rFonts w:ascii="Times New Roman;serif" w:hAnsi="Times New Roman;serif"/>
                <w:b w:val="false"/>
                <w:color w:val="000000"/>
                <w:sz w:val="20"/>
              </w:rPr>
              <w:t>__________</w:t>
            </w:r>
          </w:p>
        </w:tc>
      </w:tr>
      <w:tr>
        <w:trPr/>
        <w:tc>
          <w:tcPr>
            <w:tcW w:w="1941" w:type="dxa"/>
            <w:gridSpan w:val="3"/>
            <w:tcBorders/>
            <w:tcMar>
              <w:top w:w="0" w:type="dxa"/>
              <w:left w:w="0" w:type="dxa"/>
              <w:bottom w:w="0" w:type="dxa"/>
              <w:right w:w="0" w:type="dxa"/>
            </w:tcMar>
            <w:vAlign w:val="center"/>
          </w:tcPr>
          <w:p>
            <w:pPr>
              <w:pStyle w:val="TableContents"/>
              <w:bidi w:val="0"/>
              <w:spacing w:lineRule="auto" w:line="288" w:before="0" w:after="240"/>
              <w:jc w:val="left"/>
              <w:rPr/>
            </w:pPr>
            <w:r>
              <w:rPr>
                <w:rFonts w:ascii="Times New Roman;serif" w:hAnsi="Times New Roman;serif"/>
                <w:b/>
                <w:color w:val="000000"/>
                <w:sz w:val="20"/>
              </w:rPr>
              <w:t>4. Number of RSUs (“</w:t>
            </w:r>
            <w:r>
              <w:rPr>
                <w:rFonts w:ascii="Times New Roman;serif" w:hAnsi="Times New Roman;serif"/>
                <w:b/>
                <w:color w:val="000000"/>
                <w:sz w:val="20"/>
                <w:u w:val="single"/>
              </w:rPr>
              <w:t>Target</w:t>
            </w:r>
            <w:r>
              <w:rPr>
                <w:color w:val="000000"/>
              </w:rPr>
              <w:t>”</w:t>
            </w:r>
            <w:r>
              <w:rPr>
                <w:rFonts w:ascii="Times New Roman;serif" w:hAnsi="Times New Roman;serif"/>
                <w:b/>
                <w:color w:val="000000"/>
                <w:sz w:val="20"/>
              </w:rPr>
              <w:t>):</w:t>
            </w:r>
          </w:p>
        </w:tc>
        <w:tc>
          <w:tcPr>
            <w:tcW w:w="8264"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20"/>
              </w:rPr>
            </w:pPr>
            <w:r>
              <w:rPr>
                <w:rFonts w:ascii="Times New Roman;serif" w:hAnsi="Times New Roman;serif"/>
                <w:b w:val="false"/>
                <w:color w:val="000000"/>
                <w:sz w:val="20"/>
              </w:rPr>
              <w:t>__________</w:t>
            </w:r>
          </w:p>
        </w:tc>
      </w:tr>
      <w:tr>
        <w:trPr/>
        <w:tc>
          <w:tcPr>
            <w:tcW w:w="1941"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5. Normal Vesting Schedule:</w:t>
            </w:r>
          </w:p>
        </w:tc>
        <w:tc>
          <w:tcPr>
            <w:tcW w:w="8264" w:type="dxa"/>
            <w:gridSpan w:val="3"/>
            <w:tcBorders/>
            <w:tcMar>
              <w:top w:w="0" w:type="dxa"/>
              <w:left w:w="0" w:type="dxa"/>
              <w:bottom w:w="0" w:type="dxa"/>
              <w:right w:w="0" w:type="dxa"/>
            </w:tcMar>
            <w:vAlign w:val="center"/>
          </w:tcPr>
          <w:p>
            <w:pPr>
              <w:pStyle w:val="TableContents"/>
              <w:bidi w:val="0"/>
              <w:spacing w:lineRule="auto" w:line="288" w:before="0" w:after="240"/>
              <w:jc w:val="both"/>
              <w:rPr/>
            </w:pPr>
            <w:r>
              <w:rPr>
                <w:rFonts w:ascii="Times New Roman;serif" w:hAnsi="Times New Roman;serif"/>
                <w:b w:val="false"/>
                <w:color w:val="000000"/>
                <w:sz w:val="20"/>
              </w:rPr>
              <w:t>Except as provided below, 60% of the Target number of RSUs shall vest on the first anniversary of the Vesting Commencement Date and 20% of the Target number of RSUs shall vest on each of the second and third anniversaries of the Vesting Commencement Date (each such anniversary date, a “</w:t>
            </w:r>
            <w:r>
              <w:rPr>
                <w:rFonts w:ascii="Times New Roman;serif" w:hAnsi="Times New Roman;serif"/>
                <w:b w:val="false"/>
                <w:color w:val="000000"/>
                <w:sz w:val="20"/>
                <w:u w:val="single"/>
              </w:rPr>
              <w:t>Vesting Date</w:t>
            </w:r>
            <w:r>
              <w:rPr>
                <w:color w:val="000000"/>
              </w:rPr>
              <w:t>”</w:t>
            </w:r>
            <w:r>
              <w:rPr>
                <w:rFonts w:ascii="Times New Roman;serif" w:hAnsi="Times New Roman;serif"/>
                <w:b w:val="false"/>
                <w:color w:val="000000"/>
                <w:sz w:val="20"/>
              </w:rPr>
              <w:t>), in each case, subject to the Participant’s Continuous Service Status not being terminated prior to each such Vesting Date, except as provided below.</w:t>
            </w:r>
          </w:p>
        </w:tc>
      </w:tr>
      <w:tr>
        <w:trPr/>
        <w:tc>
          <w:tcPr>
            <w:tcW w:w="194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6. Termination of Continuous Service Status:</w:t>
            </w:r>
          </w:p>
        </w:tc>
        <w:tc>
          <w:tcPr>
            <w:tcW w:w="8264"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20"/>
              </w:rPr>
            </w:pPr>
            <w:r>
              <w:rPr>
                <w:rFonts w:ascii="Times New Roman;serif" w:hAnsi="Times New Roman;serif"/>
                <w:b w:val="false"/>
                <w:color w:val="000000"/>
                <w:sz w:val="20"/>
              </w:rPr>
              <w:t>Subject to Sections 7 and 8 of this Grant Notice, in the event that Participant’s Continuous Service Status is terminated, the provisions of Section 7(b)(iv) of the Plan shall apply to the RSUs.</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75260"/>
                <wp:effectExtent l="0" t="0" r="0" b="0"/>
                <wp:wrapNone/>
                <wp:docPr id="126" name="Frame1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493"/>
        <w:gridCol w:w="434"/>
        <w:gridCol w:w="436"/>
        <w:gridCol w:w="2589"/>
        <w:gridCol w:w="2589"/>
        <w:gridCol w:w="3664"/>
      </w:tblGrid>
      <w:tr>
        <w:trPr/>
        <w:tc>
          <w:tcPr>
            <w:tcW w:w="493"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589" w:type="dxa"/>
            <w:tcBorders/>
            <w:vAlign w:val="center"/>
          </w:tcPr>
          <w:p>
            <w:pPr>
              <w:pStyle w:val="TableContents"/>
              <w:bidi w:val="0"/>
              <w:spacing w:before="0" w:after="283"/>
              <w:jc w:val="left"/>
              <w:rPr>
                <w:sz w:val="4"/>
                <w:szCs w:val="4"/>
              </w:rPr>
            </w:pPr>
            <w:r>
              <w:rPr>
                <w:sz w:val="4"/>
                <w:szCs w:val="4"/>
              </w:rPr>
            </w:r>
          </w:p>
        </w:tc>
        <w:tc>
          <w:tcPr>
            <w:tcW w:w="2589" w:type="dxa"/>
            <w:tcBorders/>
            <w:vAlign w:val="center"/>
          </w:tcPr>
          <w:p>
            <w:pPr>
              <w:pStyle w:val="TableContents"/>
              <w:bidi w:val="0"/>
              <w:spacing w:before="0" w:after="283"/>
              <w:jc w:val="left"/>
              <w:rPr>
                <w:sz w:val="4"/>
                <w:szCs w:val="4"/>
              </w:rPr>
            </w:pPr>
            <w:r>
              <w:rPr>
                <w:sz w:val="4"/>
                <w:szCs w:val="4"/>
              </w:rPr>
            </w:r>
          </w:p>
        </w:tc>
        <w:tc>
          <w:tcPr>
            <w:tcW w:w="3664" w:type="dxa"/>
            <w:tcBorders/>
            <w:vAlign w:val="center"/>
          </w:tcPr>
          <w:p>
            <w:pPr>
              <w:pStyle w:val="TableContents"/>
              <w:bidi w:val="0"/>
              <w:spacing w:before="0" w:after="283"/>
              <w:jc w:val="left"/>
              <w:rPr>
                <w:sz w:val="4"/>
                <w:szCs w:val="4"/>
              </w:rPr>
            </w:pPr>
            <w:r>
              <w:rPr>
                <w:sz w:val="4"/>
                <w:szCs w:val="4"/>
              </w:rPr>
            </w:r>
          </w:p>
        </w:tc>
      </w:tr>
      <w:tr>
        <w:trPr/>
        <w:tc>
          <w:tcPr>
            <w:tcW w:w="136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7. Alternative Vesting Schedule:</w:t>
            </w:r>
          </w:p>
        </w:tc>
        <w:tc>
          <w:tcPr>
            <w:tcW w:w="8842" w:type="dxa"/>
            <w:gridSpan w:val="3"/>
            <w:tcBorders/>
            <w:tcMar>
              <w:top w:w="0" w:type="dxa"/>
              <w:left w:w="0" w:type="dxa"/>
              <w:bottom w:w="0" w:type="dxa"/>
              <w:right w:w="0" w:type="dxa"/>
            </w:tcMar>
            <w:vAlign w:val="center"/>
          </w:tcPr>
          <w:p>
            <w:pPr>
              <w:pStyle w:val="TableContents"/>
              <w:bidi w:val="0"/>
              <w:spacing w:lineRule="auto" w:line="288" w:before="0" w:after="240"/>
              <w:ind w:left="0" w:right="0" w:hanging="346"/>
              <w:jc w:val="both"/>
              <w:rPr/>
            </w:pPr>
            <w:r>
              <w:rPr>
                <w:rFonts w:ascii="Times New Roman;serif" w:hAnsi="Times New Roman;serif"/>
                <w:b w:val="false"/>
                <w:color w:val="000000"/>
                <w:sz w:val="20"/>
              </w:rPr>
              <w:t>(a)</w:t>
            </w:r>
            <w:r>
              <w:rPr>
                <w:rFonts w:ascii="Times New Roman;serif" w:hAnsi="Times New Roman;serif"/>
                <w:b w:val="false"/>
                <w:i/>
                <w:color w:val="000000"/>
                <w:sz w:val="20"/>
              </w:rPr>
              <w:t>Death and Disability</w:t>
            </w:r>
            <w:r>
              <w:rPr>
                <w:rFonts w:ascii="Times New Roman;serif" w:hAnsi="Times New Roman;serif"/>
                <w:b w:val="false"/>
                <w:color w:val="000000"/>
                <w:sz w:val="20"/>
              </w:rPr>
              <w:t xml:space="preserve">. If Participant’s Continuous Service Status is terminated by reason of Participant’s death or Disability before the final Vesting Date, all outstanding unvested RSUs that would have vested had Participant maintained Continuous Service Status during the 2-year period immediately following the date of such termination will vest as of the date of such termination. </w:t>
            </w:r>
          </w:p>
          <w:p>
            <w:pPr>
              <w:pStyle w:val="TableContents"/>
              <w:bidi w:val="0"/>
              <w:spacing w:lineRule="auto" w:line="288" w:before="0" w:after="240"/>
              <w:ind w:left="0" w:right="0" w:hanging="346"/>
              <w:jc w:val="both"/>
              <w:rPr/>
            </w:pPr>
            <w:r>
              <w:rPr>
                <w:rFonts w:ascii="Times New Roman;serif" w:hAnsi="Times New Roman;serif"/>
                <w:b w:val="false"/>
                <w:color w:val="000000"/>
                <w:sz w:val="20"/>
              </w:rPr>
              <w:t>(b)</w:t>
            </w:r>
            <w:r>
              <w:rPr>
                <w:rFonts w:ascii="Times New Roman;serif" w:hAnsi="Times New Roman;serif"/>
                <w:b w:val="false"/>
                <w:i/>
                <w:color w:val="000000"/>
                <w:sz w:val="20"/>
              </w:rPr>
              <w:t>Retirement</w:t>
            </w:r>
            <w:r>
              <w:rPr>
                <w:rFonts w:ascii="Times New Roman;serif" w:hAnsi="Times New Roman;serif"/>
                <w:b w:val="false"/>
                <w:color w:val="000000"/>
                <w:sz w:val="20"/>
              </w:rPr>
              <w:t xml:space="preserve">. If Participant’s Continuous Service Status is terminated by Participant after the first anniversary of the Date of Grant but before the final Vesting Date due to Participant’s Retirement, all outstanding unvested RSUs will vest as of the date of such termination. </w:t>
            </w:r>
          </w:p>
          <w:p>
            <w:pPr>
              <w:pStyle w:val="TableContents"/>
              <w:bidi w:val="0"/>
              <w:spacing w:lineRule="auto" w:line="288" w:before="0" w:after="240"/>
              <w:jc w:val="both"/>
              <w:rPr/>
            </w:pPr>
            <w:r>
              <w:rPr>
                <w:rFonts w:ascii="Times New Roman;serif" w:hAnsi="Times New Roman;serif"/>
                <w:b w:val="false"/>
                <w:color w:val="000000"/>
                <w:sz w:val="20"/>
              </w:rPr>
              <w:t>For purposes of this Grant Notice, “</w:t>
            </w:r>
            <w:r>
              <w:rPr>
                <w:rFonts w:ascii="Times New Roman;serif" w:hAnsi="Times New Roman;serif"/>
                <w:b w:val="false"/>
                <w:color w:val="000000"/>
                <w:sz w:val="20"/>
                <w:u w:val="single"/>
              </w:rPr>
              <w:t>Retirement</w:t>
            </w:r>
            <w:r>
              <w:rPr>
                <w:color w:val="000000"/>
              </w:rPr>
              <w:t xml:space="preserve">” </w:t>
            </w:r>
            <w:r>
              <w:rPr>
                <w:rFonts w:ascii="Times New Roman;serif" w:hAnsi="Times New Roman;serif"/>
                <w:b w:val="false"/>
                <w:color w:val="000000"/>
                <w:sz w:val="20"/>
              </w:rPr>
              <w:t>means termination of Participant’s Continuous Service Status after the date on which the sum of Participant’s age and years of Continuous Service Status with the Company is equal to or greater than 65.</w:t>
            </w:r>
          </w:p>
          <w:p>
            <w:pPr>
              <w:pStyle w:val="TableContents"/>
              <w:bidi w:val="0"/>
              <w:spacing w:lineRule="auto" w:line="288" w:before="0" w:after="240"/>
              <w:ind w:left="0" w:right="0" w:hanging="346"/>
              <w:jc w:val="both"/>
              <w:rPr/>
            </w:pPr>
            <w:r>
              <w:rPr>
                <w:rFonts w:ascii="Times New Roman;serif" w:hAnsi="Times New Roman;serif"/>
                <w:b w:val="false"/>
                <w:color w:val="000000"/>
                <w:sz w:val="20"/>
              </w:rPr>
              <w:t>(c)</w:t>
            </w:r>
            <w:r>
              <w:rPr>
                <w:rFonts w:ascii="Times New Roman;serif" w:hAnsi="Times New Roman;serif"/>
                <w:b w:val="false"/>
                <w:i/>
                <w:color w:val="000000"/>
                <w:sz w:val="20"/>
              </w:rPr>
              <w:t>Qualifying Terminations Prior to a Change in Control</w:t>
            </w:r>
            <w:r>
              <w:rPr>
                <w:rFonts w:ascii="Times New Roman;serif" w:hAnsi="Times New Roman;serif"/>
                <w:b w:val="false"/>
                <w:color w:val="000000"/>
                <w:sz w:val="20"/>
              </w:rPr>
              <w:t>. If Participant’s Continuous Service Status is terminated by the Company without Cause or terminated by Participant for Good Reason, in each case, prior to (or more than 12 months after) a Change in Control and before the final Vesting Date, all outstanding unvested RSUs that would have vested had Participant maintained Continuous Service Status during the 2-year period immediately following the date of such termination will vest as of the date of such termination, subject to Participant satisfying the Release Requirement.</w:t>
            </w:r>
          </w:p>
          <w:p>
            <w:pPr>
              <w:pStyle w:val="TableContents"/>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For the purposes of this Grant Notice:</w:t>
            </w:r>
          </w:p>
          <w:p>
            <w:pPr>
              <w:pStyle w:val="TableContents"/>
              <w:bidi w:val="0"/>
              <w:spacing w:lineRule="auto" w:line="288" w:before="0" w:after="240"/>
              <w:ind w:left="0" w:right="0" w:hanging="360"/>
              <w:jc w:val="both"/>
              <w:rPr/>
            </w:pPr>
            <w:r>
              <w:rPr>
                <w:rFonts w:ascii="Times New Roman;serif" w:hAnsi="Times New Roman;serif"/>
                <w:b w:val="false"/>
                <w:color w:val="000000"/>
                <w:sz w:val="20"/>
              </w:rPr>
              <w:t>(i)</w:t>
            </w:r>
            <w:r>
              <w:rPr>
                <w:color w:val="000000"/>
              </w:rPr>
              <w:t>“</w:t>
            </w:r>
            <w:r>
              <w:rPr>
                <w:rFonts w:ascii="Times New Roman;serif" w:hAnsi="Times New Roman;serif"/>
                <w:b w:val="false"/>
                <w:color w:val="000000"/>
                <w:sz w:val="20"/>
                <w:u w:val="single"/>
              </w:rPr>
              <w:t>Cause</w:t>
            </w:r>
            <w:r>
              <w:rPr>
                <w:color w:val="000000"/>
              </w:rPr>
              <w:t xml:space="preserve">” </w:t>
            </w:r>
            <w:r>
              <w:rPr>
                <w:rFonts w:ascii="Times New Roman;serif" w:hAnsi="Times New Roman;serif"/>
                <w:b w:val="false"/>
                <w:color w:val="000000"/>
                <w:sz w:val="20"/>
              </w:rPr>
              <w:t>has the meaning in the Amended and Restated Senior Management Agreement entered into between Participant and the Company dated as of November 10, 2020 (the “</w:t>
            </w:r>
            <w:r>
              <w:rPr>
                <w:rFonts w:ascii="Times New Roman;serif" w:hAnsi="Times New Roman;serif"/>
                <w:b w:val="false"/>
                <w:color w:val="000000"/>
                <w:sz w:val="20"/>
                <w:u w:val="single"/>
              </w:rPr>
              <w:t>Senior Management Agreement</w:t>
            </w:r>
            <w:r>
              <w:rPr>
                <w:color w:val="000000"/>
              </w:rPr>
              <w:t>”</w:t>
            </w:r>
            <w:r>
              <w:rPr>
                <w:rFonts w:ascii="Times New Roman;serif" w:hAnsi="Times New Roman;serif"/>
                <w:b w:val="false"/>
                <w:color w:val="000000"/>
                <w:sz w:val="20"/>
              </w:rPr>
              <w:t>).</w:t>
            </w:r>
          </w:p>
          <w:p>
            <w:pPr>
              <w:pStyle w:val="TableContents"/>
              <w:bidi w:val="0"/>
              <w:spacing w:lineRule="auto" w:line="288" w:before="0" w:after="240"/>
              <w:ind w:left="0" w:right="0" w:hanging="360"/>
              <w:jc w:val="both"/>
              <w:rPr/>
            </w:pPr>
            <w:r>
              <w:rPr>
                <w:rFonts w:ascii="Times New Roman;serif" w:hAnsi="Times New Roman;serif"/>
                <w:b w:val="false"/>
                <w:color w:val="000000"/>
                <w:sz w:val="20"/>
              </w:rPr>
              <w:t>(ii)</w:t>
            </w:r>
            <w:r>
              <w:rPr>
                <w:color w:val="000000"/>
              </w:rPr>
              <w:t>“</w:t>
            </w:r>
            <w:r>
              <w:rPr>
                <w:rFonts w:ascii="Times New Roman;serif" w:hAnsi="Times New Roman;serif"/>
                <w:b w:val="false"/>
                <w:color w:val="000000"/>
                <w:sz w:val="20"/>
                <w:u w:val="single"/>
              </w:rPr>
              <w:t>Good Reason</w:t>
            </w:r>
            <w:r>
              <w:rPr>
                <w:color w:val="000000"/>
              </w:rPr>
              <w:t xml:space="preserve">” </w:t>
            </w:r>
            <w:r>
              <w:rPr>
                <w:rFonts w:ascii="Times New Roman;serif" w:hAnsi="Times New Roman;serif"/>
                <w:b w:val="false"/>
                <w:color w:val="000000"/>
                <w:sz w:val="20"/>
              </w:rPr>
              <w:t>has the meaning in the Senior Management Agreement.</w:t>
            </w:r>
          </w:p>
          <w:p>
            <w:pPr>
              <w:pStyle w:val="TableContents"/>
              <w:bidi w:val="0"/>
              <w:spacing w:lineRule="auto" w:line="288" w:before="0" w:after="240"/>
              <w:ind w:left="0" w:right="0" w:hanging="360"/>
              <w:jc w:val="both"/>
              <w:rPr/>
            </w:pPr>
            <w:r>
              <w:rPr>
                <w:rFonts w:ascii="Times New Roman;serif" w:hAnsi="Times New Roman;serif"/>
                <w:b w:val="false"/>
                <w:color w:val="000000"/>
                <w:sz w:val="20"/>
              </w:rPr>
              <w:t>(iii)</w:t>
            </w:r>
            <w:r>
              <w:rPr>
                <w:color w:val="000000"/>
              </w:rPr>
              <w:t> “</w:t>
            </w:r>
            <w:r>
              <w:rPr>
                <w:rFonts w:ascii="Times New Roman;serif" w:hAnsi="Times New Roman;serif"/>
                <w:b w:val="false"/>
                <w:color w:val="000000"/>
                <w:sz w:val="20"/>
                <w:u w:val="single"/>
              </w:rPr>
              <w:t>Release Requirement</w:t>
            </w:r>
            <w:r>
              <w:rPr>
                <w:color w:val="000000"/>
              </w:rPr>
              <w:t xml:space="preserve">” </w:t>
            </w:r>
            <w:r>
              <w:rPr>
                <w:rFonts w:ascii="Times New Roman;serif" w:hAnsi="Times New Roman;serif"/>
                <w:b w:val="false"/>
                <w:color w:val="000000"/>
                <w:sz w:val="20"/>
              </w:rPr>
              <w:t>has the meaning in the Senior Management Agreement.</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46685"/>
                <wp:effectExtent l="0" t="0" r="0" b="0"/>
                <wp:wrapNone/>
                <wp:docPr id="127" name="Frame1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72"/>
        <w:gridCol w:w="326"/>
        <w:gridCol w:w="328"/>
        <w:gridCol w:w="2688"/>
        <w:gridCol w:w="2688"/>
        <w:gridCol w:w="3803"/>
      </w:tblGrid>
      <w:tr>
        <w:trPr/>
        <w:tc>
          <w:tcPr>
            <w:tcW w:w="372"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2688" w:type="dxa"/>
            <w:tcBorders/>
            <w:vAlign w:val="center"/>
          </w:tcPr>
          <w:p>
            <w:pPr>
              <w:pStyle w:val="TableContents"/>
              <w:bidi w:val="0"/>
              <w:spacing w:before="0" w:after="283"/>
              <w:jc w:val="left"/>
              <w:rPr>
                <w:sz w:val="4"/>
                <w:szCs w:val="4"/>
              </w:rPr>
            </w:pPr>
            <w:r>
              <w:rPr>
                <w:sz w:val="4"/>
                <w:szCs w:val="4"/>
              </w:rPr>
            </w:r>
          </w:p>
        </w:tc>
        <w:tc>
          <w:tcPr>
            <w:tcW w:w="2688" w:type="dxa"/>
            <w:tcBorders/>
            <w:vAlign w:val="center"/>
          </w:tcPr>
          <w:p>
            <w:pPr>
              <w:pStyle w:val="TableContents"/>
              <w:bidi w:val="0"/>
              <w:spacing w:before="0" w:after="283"/>
              <w:jc w:val="left"/>
              <w:rPr>
                <w:sz w:val="4"/>
                <w:szCs w:val="4"/>
              </w:rPr>
            </w:pPr>
            <w:r>
              <w:rPr>
                <w:sz w:val="4"/>
                <w:szCs w:val="4"/>
              </w:rPr>
            </w:r>
          </w:p>
        </w:tc>
        <w:tc>
          <w:tcPr>
            <w:tcW w:w="3803" w:type="dxa"/>
            <w:tcBorders/>
            <w:vAlign w:val="center"/>
          </w:tcPr>
          <w:p>
            <w:pPr>
              <w:pStyle w:val="TableContents"/>
              <w:bidi w:val="0"/>
              <w:spacing w:before="0" w:after="283"/>
              <w:jc w:val="left"/>
              <w:rPr>
                <w:sz w:val="4"/>
                <w:szCs w:val="4"/>
              </w:rPr>
            </w:pPr>
            <w:r>
              <w:rPr>
                <w:sz w:val="4"/>
                <w:szCs w:val="4"/>
              </w:rPr>
            </w:r>
          </w:p>
        </w:tc>
      </w:tr>
      <w:tr>
        <w:trPr/>
        <w:tc>
          <w:tcPr>
            <w:tcW w:w="1026"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8. Change in Control:</w:t>
            </w:r>
          </w:p>
        </w:tc>
        <w:tc>
          <w:tcPr>
            <w:tcW w:w="9179" w:type="dxa"/>
            <w:gridSpan w:val="3"/>
            <w:tcBorders/>
            <w:tcMar>
              <w:top w:w="0" w:type="dxa"/>
              <w:left w:w="0" w:type="dxa"/>
              <w:bottom w:w="0" w:type="dxa"/>
              <w:right w:w="0" w:type="dxa"/>
            </w:tcMar>
            <w:vAlign w:val="center"/>
          </w:tcPr>
          <w:p>
            <w:pPr>
              <w:pStyle w:val="TableContents"/>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If, at any time before the final Vesting Date, and while the Participant maintains their Continuous Service Status, a Change in Control occurs and the unvested portion of the RSUs is not assumed or substituted by Acquiror, or continued by the Company, in connection with a Change in Control, such unvested portion of the RSUs shall vest as of the closing of such Change in Control.</w:t>
            </w:r>
          </w:p>
          <w:p>
            <w:pPr>
              <w:pStyle w:val="TableContents"/>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 the event that in connection with a Change in Control, the Acquiror does assume or substitute, or the Company continues, the unvested portion of the RSUs, and Participant’s Continuous Service Status is terminated by such Acquiror or the Company without Cause or by Participant for Good Reason, in each case, within the 12-month period immediately following the Change in Control, the unvested portion of the RSUs shall vest as of the date of Participant’s termination.</w:t>
            </w:r>
          </w:p>
          <w:p>
            <w:pPr>
              <w:pStyle w:val="TableContents"/>
              <w:bidi w:val="0"/>
              <w:spacing w:lineRule="auto" w:line="288" w:before="0" w:after="240"/>
              <w:ind w:left="0" w:right="0" w:hanging="337"/>
              <w:jc w:val="both"/>
              <w:rPr>
                <w:rFonts w:ascii="Times New Roman;serif" w:hAnsi="Times New Roman;serif"/>
                <w:b w:val="false"/>
                <w:color w:val="000000"/>
                <w:sz w:val="20"/>
              </w:rPr>
            </w:pPr>
            <w:r>
              <w:rPr>
                <w:rFonts w:ascii="Times New Roman;serif" w:hAnsi="Times New Roman;serif"/>
                <w:b w:val="false"/>
                <w:color w:val="000000"/>
                <w:sz w:val="20"/>
              </w:rPr>
              <w:t>In addition, if an Acquiror so assumes or substitutes, or the Company so continues, the unvested portion of the RSUs, notwithstanding any provision to the contrary, any outstanding RSUs which at the time of the Change in Control are not subject to a “substantial risk of forfeiture” (within the meaning of Section 409A of the Code) will be deemed to be vested at the time of such Change in Control and will be settled in accordance with Section 9 of this Grant Notice.</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46685"/>
                <wp:effectExtent l="0" t="0" r="0" b="0"/>
                <wp:wrapNone/>
                <wp:docPr id="128" name="Frame1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69"/>
        <w:gridCol w:w="325"/>
        <w:gridCol w:w="327"/>
        <w:gridCol w:w="2690"/>
        <w:gridCol w:w="2690"/>
        <w:gridCol w:w="3804"/>
      </w:tblGrid>
      <w:tr>
        <w:trPr/>
        <w:tc>
          <w:tcPr>
            <w:tcW w:w="36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2690" w:type="dxa"/>
            <w:tcBorders/>
            <w:vAlign w:val="center"/>
          </w:tcPr>
          <w:p>
            <w:pPr>
              <w:pStyle w:val="TableContents"/>
              <w:bidi w:val="0"/>
              <w:spacing w:before="0" w:after="283"/>
              <w:jc w:val="left"/>
              <w:rPr>
                <w:sz w:val="4"/>
                <w:szCs w:val="4"/>
              </w:rPr>
            </w:pPr>
            <w:r>
              <w:rPr>
                <w:sz w:val="4"/>
                <w:szCs w:val="4"/>
              </w:rPr>
            </w:r>
          </w:p>
        </w:tc>
        <w:tc>
          <w:tcPr>
            <w:tcW w:w="2690" w:type="dxa"/>
            <w:tcBorders/>
            <w:vAlign w:val="center"/>
          </w:tcPr>
          <w:p>
            <w:pPr>
              <w:pStyle w:val="TableContents"/>
              <w:bidi w:val="0"/>
              <w:spacing w:before="0" w:after="283"/>
              <w:jc w:val="left"/>
              <w:rPr>
                <w:sz w:val="4"/>
                <w:szCs w:val="4"/>
              </w:rPr>
            </w:pPr>
            <w:r>
              <w:rPr>
                <w:sz w:val="4"/>
                <w:szCs w:val="4"/>
              </w:rPr>
            </w:r>
          </w:p>
        </w:tc>
        <w:tc>
          <w:tcPr>
            <w:tcW w:w="3804"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9. Issuance Schedule:</w:t>
            </w:r>
          </w:p>
        </w:tc>
        <w:tc>
          <w:tcPr>
            <w:tcW w:w="9184" w:type="dxa"/>
            <w:gridSpan w:val="3"/>
            <w:tcBorders/>
            <w:tcMar>
              <w:top w:w="0" w:type="dxa"/>
              <w:left w:w="0" w:type="dxa"/>
              <w:bottom w:w="0" w:type="dxa"/>
              <w:right w:w="0" w:type="dxa"/>
            </w:tcMar>
            <w:vAlign w:val="center"/>
          </w:tcPr>
          <w:p>
            <w:pPr>
              <w:pStyle w:val="TableContents"/>
              <w:bidi w:val="0"/>
              <w:spacing w:lineRule="auto" w:line="288" w:before="0" w:after="240"/>
              <w:ind w:left="0" w:right="0" w:hanging="337"/>
              <w:jc w:val="both"/>
              <w:rPr/>
            </w:pPr>
            <w:r>
              <w:rPr>
                <w:rFonts w:ascii="Times New Roman;serif" w:hAnsi="Times New Roman;serif"/>
                <w:b w:val="false"/>
                <w:color w:val="000000"/>
                <w:sz w:val="20"/>
              </w:rPr>
              <w:t xml:space="preserve">(a) </w:t>
            </w:r>
            <w:r>
              <w:rPr>
                <w:rFonts w:ascii="Times New Roman;serif" w:hAnsi="Times New Roman;serif"/>
                <w:b w:val="false"/>
                <w:i/>
                <w:color w:val="000000"/>
                <w:sz w:val="20"/>
              </w:rPr>
              <w:t>General.</w:t>
            </w:r>
            <w:r>
              <w:rPr>
                <w:color w:val="000000"/>
              </w:rPr>
              <w:t xml:space="preserve"> </w:t>
            </w:r>
            <w:r>
              <w:rPr>
                <w:rFonts w:ascii="Times New Roman;serif" w:hAnsi="Times New Roman;serif"/>
                <w:b w:val="false"/>
                <w:color w:val="000000"/>
                <w:sz w:val="20"/>
              </w:rPr>
              <w:t>Subject to Sections 6 and 9(b) of this Grant Notice and Section 2 of the RSU Agreement, following each Vesting Date the vested RSUs shall be settled in Shares within 30 days of the applicable Vesting Date.</w:t>
            </w:r>
          </w:p>
          <w:p>
            <w:pPr>
              <w:pStyle w:val="TableContents"/>
              <w:bidi w:val="0"/>
              <w:spacing w:lineRule="auto" w:line="288" w:before="0" w:after="240"/>
              <w:ind w:left="0" w:right="0" w:hanging="337"/>
              <w:jc w:val="both"/>
              <w:rPr/>
            </w:pPr>
            <w:r>
              <w:rPr>
                <w:rFonts w:ascii="Times New Roman;serif" w:hAnsi="Times New Roman;serif"/>
                <w:b w:val="false"/>
                <w:color w:val="000000"/>
                <w:sz w:val="20"/>
              </w:rPr>
              <w:t xml:space="preserve">(b) </w:t>
            </w:r>
            <w:r>
              <w:rPr>
                <w:rFonts w:ascii="Times New Roman;serif" w:hAnsi="Times New Roman;serif"/>
                <w:b w:val="false"/>
                <w:i/>
                <w:color w:val="000000"/>
                <w:sz w:val="20"/>
              </w:rPr>
              <w:t>Other Settlement Dates</w:t>
            </w:r>
            <w:r>
              <w:rPr>
                <w:rFonts w:ascii="Times New Roman;serif" w:hAnsi="Times New Roman;serif"/>
                <w:b w:val="false"/>
                <w:color w:val="000000"/>
                <w:sz w:val="20"/>
              </w:rPr>
              <w:t>. Notwithstanding Section 9(a), to the extent that the RSUs are vested on the dates set forth below, the vested RSUs shall be settled in Shares as follows:</w:t>
            </w:r>
          </w:p>
          <w:p>
            <w:pPr>
              <w:pStyle w:val="TableContents"/>
              <w:bidi w:val="0"/>
              <w:spacing w:lineRule="auto" w:line="288" w:before="0" w:after="240"/>
              <w:ind w:left="0" w:right="0" w:firstLine="450"/>
              <w:jc w:val="both"/>
              <w:rPr/>
            </w:pPr>
            <w:r>
              <w:rPr>
                <w:rFonts w:ascii="Times New Roman;serif" w:hAnsi="Times New Roman;serif"/>
                <w:b w:val="false"/>
                <w:color w:val="000000"/>
                <w:sz w:val="20"/>
              </w:rPr>
              <w:t>(i)    </w:t>
            </w:r>
            <w:r>
              <w:rPr>
                <w:rFonts w:ascii="Times New Roman;serif" w:hAnsi="Times New Roman;serif"/>
                <w:b w:val="false"/>
                <w:i/>
                <w:color w:val="000000"/>
                <w:sz w:val="20"/>
              </w:rPr>
              <w:t>Termination of Continuous Service Status or Death.</w:t>
            </w:r>
            <w:r>
              <w:rPr>
                <w:color w:val="000000"/>
              </w:rPr>
              <w:t xml:space="preserve"> </w:t>
            </w:r>
            <w:r>
              <w:rPr>
                <w:rFonts w:ascii="Times New Roman;serif" w:hAnsi="Times New Roman;serif"/>
                <w:b w:val="false"/>
                <w:color w:val="000000"/>
                <w:sz w:val="20"/>
              </w:rPr>
              <w:t>Within 60 days following the date of Participant’s termination of Continuous Service Status with the Company or death, any RSUs vested as of such termination or death shall be settled in Shares; provided, however, that if such termination of Continuous Service Status would not qualify as a “separation from service” as defined under Section 409A of the Code, and where Section 409A of the Code applies to such distribution, such vested RSUs shall be settled on the date that would have otherwise applied pursuant to Sections 9(a) or 9(b) of this Grant Notice.</w:t>
            </w:r>
          </w:p>
          <w:p>
            <w:pPr>
              <w:pStyle w:val="TableContents"/>
              <w:bidi w:val="0"/>
              <w:spacing w:lineRule="auto" w:line="288" w:before="0" w:after="240"/>
              <w:ind w:left="0" w:right="0" w:firstLine="450"/>
              <w:jc w:val="both"/>
              <w:rPr/>
            </w:pPr>
            <w:r>
              <w:rPr>
                <w:rFonts w:ascii="Times New Roman;serif" w:hAnsi="Times New Roman;serif"/>
                <w:b w:val="false"/>
                <w:color w:val="000000"/>
                <w:sz w:val="20"/>
              </w:rPr>
              <w:t>(ii)    </w:t>
            </w:r>
            <w:r>
              <w:rPr>
                <w:rFonts w:ascii="Times New Roman;serif" w:hAnsi="Times New Roman;serif"/>
                <w:b w:val="false"/>
                <w:i/>
                <w:color w:val="000000"/>
                <w:sz w:val="20"/>
              </w:rPr>
              <w:t>Change in Control.</w:t>
            </w:r>
            <w:r>
              <w:rPr>
                <w:color w:val="000000"/>
              </w:rPr>
              <w:t xml:space="preserve"> </w:t>
            </w:r>
            <w:r>
              <w:rPr>
                <w:rFonts w:ascii="Times New Roman;serif" w:hAnsi="Times New Roman;serif"/>
                <w:b w:val="false"/>
                <w:color w:val="000000"/>
                <w:sz w:val="20"/>
              </w:rPr>
              <w:t xml:space="preserve">Within 30 days following a Change in Control, any RSUs vested as of such Change in Control shall be settled in Shares; provided, however, that if such Change in Control would not qualify as a permissible date of distribution under Section 409A(a)(2)(A) of the Code, and the regulations thereunder, and where Section 409A of the Code applies to such distribution, such vested RSUs shall be settled on the date that would have otherwise applied pursuant to Sections 9(a) or 9(b) of this Grant Notice. </w:t>
            </w:r>
          </w:p>
          <w:p>
            <w:pPr>
              <w:pStyle w:val="TableContents"/>
              <w:bidi w:val="0"/>
              <w:spacing w:lineRule="auto" w:line="288" w:before="0" w:after="240"/>
              <w:ind w:left="0" w:right="0" w:hanging="337"/>
              <w:jc w:val="both"/>
              <w:rPr/>
            </w:pPr>
            <w:r>
              <w:rPr>
                <w:rFonts w:ascii="Times New Roman;serif" w:hAnsi="Times New Roman;serif"/>
                <w:b w:val="false"/>
                <w:color w:val="000000"/>
                <w:sz w:val="20"/>
              </w:rPr>
              <w:t xml:space="preserve">(c) </w:t>
            </w:r>
            <w:r>
              <w:rPr>
                <w:rFonts w:ascii="Times New Roman;serif" w:hAnsi="Times New Roman;serif"/>
                <w:b w:val="false"/>
                <w:i/>
                <w:color w:val="000000"/>
                <w:sz w:val="20"/>
              </w:rPr>
              <w:t>Accelerated Payment.</w:t>
            </w:r>
            <w:r>
              <w:rPr>
                <w:color w:val="000000"/>
              </w:rPr>
              <w:t xml:space="preserve"> </w:t>
            </w:r>
            <w:r>
              <w:rPr>
                <w:rFonts w:ascii="Times New Roman;serif" w:hAnsi="Times New Roman;serif"/>
                <w:b w:val="false"/>
                <w:color w:val="000000"/>
                <w:sz w:val="20"/>
              </w:rPr>
              <w:t>Notwithstanding anything stated in this Grant Notice, in the RSU Agreement, the Plan or any other agreement applicable to the RSUs, the Company shall have the discretion to settle the RSUs prior to the time set forth herein to the extent permitted by Treasury Regulation Section 1.409A-3(j)(4).</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46685"/>
                <wp:effectExtent l="0" t="0" r="0" b="0"/>
                <wp:wrapNone/>
                <wp:docPr id="129" name="Frame1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515"/>
        <w:gridCol w:w="452"/>
        <w:gridCol w:w="454"/>
        <w:gridCol w:w="2572"/>
        <w:gridCol w:w="2572"/>
        <w:gridCol w:w="3640"/>
      </w:tblGrid>
      <w:tr>
        <w:trPr/>
        <w:tc>
          <w:tcPr>
            <w:tcW w:w="515"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2572" w:type="dxa"/>
            <w:tcBorders/>
            <w:vAlign w:val="center"/>
          </w:tcPr>
          <w:p>
            <w:pPr>
              <w:pStyle w:val="TableContents"/>
              <w:bidi w:val="0"/>
              <w:spacing w:before="0" w:after="283"/>
              <w:jc w:val="left"/>
              <w:rPr>
                <w:sz w:val="4"/>
                <w:szCs w:val="4"/>
              </w:rPr>
            </w:pPr>
            <w:r>
              <w:rPr>
                <w:sz w:val="4"/>
                <w:szCs w:val="4"/>
              </w:rPr>
            </w:r>
          </w:p>
        </w:tc>
        <w:tc>
          <w:tcPr>
            <w:tcW w:w="2572" w:type="dxa"/>
            <w:tcBorders/>
            <w:vAlign w:val="center"/>
          </w:tcPr>
          <w:p>
            <w:pPr>
              <w:pStyle w:val="TableContents"/>
              <w:bidi w:val="0"/>
              <w:spacing w:before="0" w:after="283"/>
              <w:jc w:val="left"/>
              <w:rPr>
                <w:sz w:val="4"/>
                <w:szCs w:val="4"/>
              </w:rPr>
            </w:pPr>
            <w:r>
              <w:rPr>
                <w:sz w:val="4"/>
                <w:szCs w:val="4"/>
              </w:rPr>
            </w:r>
          </w:p>
        </w:tc>
        <w:tc>
          <w:tcPr>
            <w:tcW w:w="3640" w:type="dxa"/>
            <w:tcBorders/>
            <w:vAlign w:val="center"/>
          </w:tcPr>
          <w:p>
            <w:pPr>
              <w:pStyle w:val="TableContents"/>
              <w:bidi w:val="0"/>
              <w:spacing w:before="0" w:after="283"/>
              <w:jc w:val="left"/>
              <w:rPr>
                <w:sz w:val="4"/>
                <w:szCs w:val="4"/>
              </w:rPr>
            </w:pPr>
            <w:r>
              <w:rPr>
                <w:sz w:val="4"/>
                <w:szCs w:val="4"/>
              </w:rPr>
            </w:r>
          </w:p>
        </w:tc>
      </w:tr>
      <w:tr>
        <w:trPr/>
        <w:tc>
          <w:tcPr>
            <w:tcW w:w="1421"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10. Tax Withholding Treatment:</w:t>
            </w:r>
          </w:p>
        </w:tc>
        <w:tc>
          <w:tcPr>
            <w:tcW w:w="8784" w:type="dxa"/>
            <w:gridSpan w:val="3"/>
            <w:tcBorders/>
            <w:tcMar>
              <w:top w:w="0" w:type="dxa"/>
              <w:left w:w="0" w:type="dxa"/>
              <w:bottom w:w="0" w:type="dxa"/>
              <w:right w:w="0" w:type="dxa"/>
            </w:tcMar>
            <w:vAlign w:val="center"/>
          </w:tcPr>
          <w:p>
            <w:pPr>
              <w:pStyle w:val="TableContents"/>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As a condition to acceptance of this award of RSUs, to the greatest extent permitted under the Plan and Applicable Laws, and absent any contrary determination by the Committee, any Tax Withholding Obligations will be satisfied by the Company withholding a number of the Shares issuable upon settlement determined in accordance with Section 3 of the RSU Agreement and making payments from its own funds to the appropriate taxing authorities in an amount equal to the Tax Withholding Obligations. Any Shares so withheld shall be credited against such withholding requirements at the fair market value of such shares on the date of such withholding.</w:t>
            </w:r>
          </w:p>
          <w:p>
            <w:pPr>
              <w:pStyle w:val="TableContents"/>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Notwithstanding the forgoing, if the Participant is not a Company officer or Board member that is subject to Section 16 of the Exchange Act, the Company may adopt (in its discretion, without further Committee approval) such other treatment or program for such Tax Withholding Obligations, including requiring cash payments or other forms of payment as permitted under Section 9 of the Plan (limited to maximum permitted amounts), all as consistent with Section 26 of the Plan.</w:t>
            </w:r>
          </w:p>
          <w:p>
            <w:pPr>
              <w:pStyle w:val="TableContents"/>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Company may also enter into any other arrangement with the Participant to satisfy Participant’s Tax Withholding Obligations in accordance with Section 3 of the RSU Agreement.</w:t>
            </w:r>
          </w:p>
        </w:tc>
      </w:tr>
    </w:tbl>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By signing this Grant Notice or otherwise accepting this grant, Participant hereby agrees to all of the following:</w:t>
      </w:r>
    </w:p>
    <w:p>
      <w:pPr>
        <w:pStyle w:val="TextBody"/>
        <w:bidi w:val="0"/>
        <w:spacing w:lineRule="auto" w:line="240" w:before="0" w:after="240"/>
        <w:ind w:left="0" w:right="0" w:hanging="360"/>
        <w:jc w:val="both"/>
        <w:rPr/>
      </w:pPr>
      <w:r>
        <w:rPr>
          <w:color w:val="000000"/>
        </w:rPr>
        <w:t>•</w:t>
      </w:r>
      <w:r>
        <w:rPr>
          <w:rFonts w:ascii="Times New Roman;serif" w:hAnsi="Times New Roman;serif"/>
          <w:b w:val="false"/>
          <w:color w:val="000000"/>
          <w:sz w:val="20"/>
        </w:rPr>
        <w:t>This award of RSUs is granted under and governed by the terms and conditions of this Grant Notice, the Plan, the RSU Agreement (including any relevant Country-Specific Addendum), and any ancillary documents.</w:t>
      </w:r>
    </w:p>
    <w:p>
      <w:pPr>
        <w:pStyle w:val="TextBody"/>
        <w:bidi w:val="0"/>
        <w:spacing w:lineRule="auto" w:line="240" w:before="0" w:after="240"/>
        <w:ind w:left="0" w:right="0" w:hanging="360"/>
        <w:jc w:val="both"/>
        <w:rPr/>
      </w:pPr>
      <w:r>
        <w:rPr>
          <w:color w:val="000000"/>
        </w:rPr>
        <w:t>•</w:t>
      </w:r>
      <w:r>
        <w:rPr>
          <w:rFonts w:ascii="Times New Roman;serif" w:hAnsi="Times New Roman;serif"/>
          <w:b w:val="false"/>
          <w:color w:val="000000"/>
          <w:sz w:val="20"/>
        </w:rPr>
        <w:t>Participant acknowledges and agrees that Participant will incur and is responsible for satisfaction of the Tax Withholding Obligations in connection with this award of RSUs and that, unless otherwise directed by the Committee, the Company and/or the Employer will mandate arrangements with the Participant to satisfy such Tax Withholding Obligations in accordance with Section 3 of the RSU Agreement, including, but not limited to, the arrangements described herein.</w:t>
      </w:r>
    </w:p>
    <w:p>
      <w:pPr>
        <w:pStyle w:val="TextBody"/>
        <w:bidi w:val="0"/>
        <w:spacing w:lineRule="auto" w:line="240" w:before="0" w:after="240"/>
        <w:ind w:left="0" w:right="0" w:hanging="360"/>
        <w:jc w:val="both"/>
        <w:rPr/>
      </w:pPr>
      <w:r>
        <w:rPr>
          <w:color w:val="000000"/>
        </w:rPr>
        <w:t>•</w:t>
      </w:r>
      <w:r>
        <w:rPr>
          <w:rFonts w:ascii="Times New Roman;serif" w:hAnsi="Times New Roman;serif"/>
          <w:b w:val="false"/>
          <w:color w:val="000000"/>
          <w:sz w:val="20"/>
        </w:rPr>
        <w:t>Participant acknowledges and agrees that Participant has reviewed the Plan and the RSU Agreement in their entirety, has had an opportunity to obtain the advice of counsel prior to accepting the RSUs, and fully understands all provisions of the Plan, this Grant Notice and the RSU Agreement. Participant consents to the vesting schedules set forth in this Grant Notice and agrees that the applicable vesting schedules comply with (or shall be deemed to comply with) any Company obligations to provide certain vesting protections under any contract between the Company and Participant.</w:t>
      </w:r>
    </w:p>
    <w:p>
      <w:pPr>
        <w:pStyle w:val="TextBody"/>
        <w:bidi w:val="0"/>
        <w:spacing w:lineRule="auto" w:line="240" w:before="0" w:after="240"/>
        <w:ind w:left="0" w:right="0" w:hanging="360"/>
        <w:jc w:val="both"/>
        <w:rPr/>
      </w:pPr>
      <w:r>
        <w:rPr>
          <w:color w:val="000000"/>
        </w:rPr>
        <w:t>•</w:t>
      </w:r>
      <w:r>
        <w:rPr>
          <w:rFonts w:ascii="Times New Roman;serif" w:hAnsi="Times New Roman;serif"/>
          <w:b w:val="false"/>
          <w:color w:val="000000"/>
          <w:sz w:val="20"/>
        </w:rPr>
        <w:t>Participant acknowledges and agrees that Participant has read the Company’s Insider Trading Policy, and agrees to comply with such policy, as it may be amended from time to time.</w:t>
      </w:r>
    </w:p>
    <w:p>
      <w:pPr>
        <w:pStyle w:val="TextBody"/>
        <w:bidi w:val="0"/>
        <w:spacing w:lineRule="auto" w:line="240" w:before="0" w:after="240"/>
        <w:ind w:left="0" w:right="0" w:hanging="360"/>
        <w:jc w:val="both"/>
        <w:rPr/>
      </w:pPr>
      <w:r>
        <w:rPr>
          <w:color w:val="000000"/>
        </w:rPr>
        <w:t>•</w:t>
      </w:r>
      <w:r>
        <w:rPr>
          <w:rFonts w:ascii="Times New Roman;serif" w:hAnsi="Times New Roman;serif"/>
          <w:b w:val="false"/>
          <w:color w:val="000000"/>
          <w:sz w:val="20"/>
        </w:rPr>
        <w:t>Participant agrees to accept as binding, conclusive and final all decisions or interpretations of the Administrator upon any questions relating to the Plan and RSU Agreement.</w:t>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46685"/>
                <wp:effectExtent l="0" t="0" r="0" b="0"/>
                <wp:wrapNone/>
                <wp:docPr id="130" name="Frame1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tbl>
      <w:tblPr>
        <w:tblW w:w="1349" w:type="dxa"/>
        <w:jc w:val="left"/>
        <w:tblInd w:w="0" w:type="dxa"/>
        <w:tblLayout w:type="fixed"/>
        <w:tblCellMar>
          <w:top w:w="28" w:type="dxa"/>
          <w:left w:w="28" w:type="dxa"/>
          <w:bottom w:w="28" w:type="dxa"/>
          <w:right w:w="28" w:type="dxa"/>
        </w:tblCellMar>
      </w:tblPr>
      <w:tblGrid>
        <w:gridCol w:w="432"/>
        <w:gridCol w:w="378"/>
        <w:gridCol w:w="539"/>
      </w:tblGrid>
      <w:tr>
        <w:trPr/>
        <w:tc>
          <w:tcPr>
            <w:tcW w:w="432"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r>
      <w:tr>
        <w:trPr/>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Name</w:t>
            </w:r>
          </w:p>
        </w:tc>
      </w:tr>
      <w:tr>
        <w:trPr/>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Date Accepted</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46685"/>
                <wp:effectExtent l="0" t="0" r="0" b="0"/>
                <wp:wrapNone/>
                <wp:docPr id="131" name="Frame1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0"/>
          <w:u w:val="single"/>
        </w:rPr>
      </w:pPr>
      <w:r>
        <w:rPr>
          <w:rFonts w:ascii="Times New Roman;serif" w:hAnsi="Times New Roman;serif"/>
          <w:b/>
          <w:color w:val="000000"/>
          <w:sz w:val="20"/>
          <w:u w:val="single"/>
        </w:rPr>
        <w:t>SOTERA HEALTH COMPANY</w:t>
        <w:br/>
        <w:br/>
        <w:t>2020 OMNIBUS INCENTIVE PLAN</w:t>
        <w:br/>
        <w:br/>
        <w:t>RESTRICTED STOCK UNIT AGREEMENT</w:t>
      </w:r>
    </w:p>
    <w:p>
      <w:pPr>
        <w:pStyle w:val="TextBody"/>
        <w:bidi w:val="0"/>
        <w:spacing w:lineRule="auto" w:line="288" w:before="0" w:after="240"/>
        <w:ind w:left="0" w:right="0" w:firstLine="720"/>
        <w:jc w:val="both"/>
        <w:rPr/>
      </w:pPr>
      <w:r>
        <w:rPr>
          <w:rFonts w:ascii="Times New Roman;serif" w:hAnsi="Times New Roman;serif"/>
          <w:b w:val="false"/>
          <w:color w:val="000000"/>
          <w:sz w:val="20"/>
        </w:rPr>
        <w:t>Pursuant to your Restricted Stock Unit Grant Notice (the “</w:t>
      </w:r>
      <w:r>
        <w:rPr>
          <w:rFonts w:ascii="Times New Roman;serif" w:hAnsi="Times New Roman;serif"/>
          <w:b w:val="false"/>
          <w:color w:val="000000"/>
          <w:sz w:val="20"/>
          <w:u w:val="single"/>
        </w:rPr>
        <w:t>Grant Notice</w:t>
      </w:r>
      <w:r>
        <w:rPr>
          <w:color w:val="000000"/>
        </w:rPr>
        <w:t>”</w:t>
      </w:r>
      <w:r>
        <w:rPr>
          <w:rFonts w:ascii="Times New Roman;serif" w:hAnsi="Times New Roman;serif"/>
          <w:b w:val="false"/>
          <w:color w:val="000000"/>
          <w:sz w:val="20"/>
        </w:rPr>
        <w:t>) and this Restricted Stock Unit Agreement (the “</w:t>
      </w:r>
      <w:r>
        <w:rPr>
          <w:rFonts w:ascii="Times New Roman;serif" w:hAnsi="Times New Roman;serif"/>
          <w:b w:val="false"/>
          <w:color w:val="000000"/>
          <w:sz w:val="20"/>
          <w:u w:val="single"/>
        </w:rPr>
        <w:t>Agreement</w:t>
      </w:r>
      <w:r>
        <w:rPr>
          <w:color w:val="000000"/>
        </w:rPr>
        <w:t>”</w:t>
      </w:r>
      <w:r>
        <w:rPr>
          <w:rFonts w:ascii="Times New Roman;serif" w:hAnsi="Times New Roman;serif"/>
          <w:b w:val="false"/>
          <w:color w:val="000000"/>
          <w:sz w:val="20"/>
        </w:rPr>
        <w:t>), Sotera Health Company, a Delaware corporation (the “</w:t>
      </w:r>
      <w:r>
        <w:rPr>
          <w:rFonts w:ascii="Times New Roman;serif" w:hAnsi="Times New Roman;serif"/>
          <w:b w:val="false"/>
          <w:color w:val="000000"/>
          <w:sz w:val="20"/>
          <w:u w:val="single"/>
        </w:rPr>
        <w:t>Company</w:t>
      </w:r>
      <w:r>
        <w:rPr>
          <w:color w:val="000000"/>
        </w:rPr>
        <w:t>”</w:t>
      </w:r>
      <w:r>
        <w:rPr>
          <w:rFonts w:ascii="Times New Roman;serif" w:hAnsi="Times New Roman;serif"/>
          <w:b w:val="false"/>
          <w:color w:val="000000"/>
          <w:sz w:val="20"/>
        </w:rPr>
        <w:t>), has granted you (the “</w:t>
      </w:r>
      <w:r>
        <w:rPr>
          <w:rFonts w:ascii="Times New Roman;serif" w:hAnsi="Times New Roman;serif"/>
          <w:b w:val="false"/>
          <w:color w:val="000000"/>
          <w:sz w:val="20"/>
          <w:u w:val="single"/>
        </w:rPr>
        <w:t>Participant</w:t>
      </w:r>
      <w:r>
        <w:rPr>
          <w:color w:val="000000"/>
        </w:rPr>
        <w:t>”</w:t>
      </w:r>
      <w:r>
        <w:rPr>
          <w:rFonts w:ascii="Times New Roman;serif" w:hAnsi="Times New Roman;serif"/>
          <w:b w:val="false"/>
          <w:color w:val="000000"/>
          <w:sz w:val="20"/>
        </w:rPr>
        <w:t>), as of the Date of Grant set forth in the Grant Notice, a Restricted Stock Unit award covering the number of units set forth in your Grant Notice, each of which represents one Share of the Company’s Common Stock (the “</w:t>
      </w:r>
      <w:r>
        <w:rPr>
          <w:rFonts w:ascii="Times New Roman;serif" w:hAnsi="Times New Roman;serif"/>
          <w:b w:val="false"/>
          <w:color w:val="000000"/>
          <w:sz w:val="20"/>
          <w:u w:val="single"/>
        </w:rPr>
        <w:t>RSUs</w:t>
      </w:r>
      <w:r>
        <w:rPr>
          <w:color w:val="000000"/>
        </w:rPr>
        <w:t>”</w:t>
      </w:r>
      <w:r>
        <w:rPr>
          <w:rFonts w:ascii="Times New Roman;serif" w:hAnsi="Times New Roman;serif"/>
          <w:b w:val="false"/>
          <w:color w:val="000000"/>
          <w:sz w:val="20"/>
        </w:rPr>
        <w:t>) pursuant to the Company’s 2020 Omnibus Incentive Plan and any applicable sub-plan for a particular country (together, the “</w:t>
      </w:r>
      <w:r>
        <w:rPr>
          <w:rFonts w:ascii="Times New Roman;serif" w:hAnsi="Times New Roman;serif"/>
          <w:b w:val="false"/>
          <w:color w:val="000000"/>
          <w:sz w:val="20"/>
          <w:u w:val="single"/>
        </w:rPr>
        <w:t>Plan</w:t>
      </w:r>
      <w:r>
        <w:rPr>
          <w:color w:val="000000"/>
        </w:rPr>
        <w:t>”</w:t>
      </w:r>
      <w:r>
        <w:rPr>
          <w:rFonts w:ascii="Times New Roman;serif" w:hAnsi="Times New Roman;serif"/>
          <w:b w:val="false"/>
          <w:color w:val="000000"/>
          <w:sz w:val="20"/>
        </w:rPr>
        <w:t>). Capitalized terms not explicitly defined in this Agreement but defined in the Plan or in the Grant Notice shall have the meaning ascribed to them in the Plan or in the Grant Notice. In the event of any conflict between the terms of this Agreement and the Plan, the terms of the Plan will control.</w:t>
      </w:r>
    </w:p>
    <w:p>
      <w:pPr>
        <w:pStyle w:val="TextBody"/>
        <w:bidi w:val="0"/>
        <w:spacing w:lineRule="auto" w:line="240" w:before="0" w:after="240"/>
        <w:ind w:left="0" w:right="0" w:firstLine="720"/>
        <w:jc w:val="both"/>
        <w:rPr/>
      </w:pPr>
      <w:r>
        <w:rPr>
          <w:rFonts w:ascii="Times New Roman;serif" w:hAnsi="Times New Roman;serif"/>
          <w:b w:val="false"/>
          <w:color w:val="000000"/>
          <w:sz w:val="24"/>
        </w:rPr>
        <w:t>1.</w:t>
      </w:r>
      <w:r>
        <w:rPr>
          <w:rFonts w:ascii="Times New Roman;serif" w:hAnsi="Times New Roman;serif"/>
          <w:b/>
          <w:color w:val="000000"/>
          <w:sz w:val="20"/>
          <w:u w:val="single"/>
        </w:rPr>
        <w:t>No Stockholder Rights</w:t>
      </w:r>
      <w:r>
        <w:rPr>
          <w:rFonts w:ascii="Times New Roman;serif" w:hAnsi="Times New Roman;serif"/>
          <w:b w:val="false"/>
          <w:color w:val="000000"/>
          <w:sz w:val="20"/>
        </w:rPr>
        <w:t>. Unless and until such time as Shares are issued pursuant to the Agreement in settlement of vested RSUs, Participant shall have no ownership of the Shares allocated to the RSUs, including, without limitation, no right to dividends (or dividend equivalents) or to vote such Shares.</w:t>
      </w:r>
    </w:p>
    <w:p>
      <w:pPr>
        <w:pStyle w:val="TextBody"/>
        <w:bidi w:val="0"/>
        <w:spacing w:lineRule="auto" w:line="240" w:before="0" w:after="240"/>
        <w:ind w:left="0" w:right="0" w:firstLine="720"/>
        <w:jc w:val="both"/>
        <w:rPr/>
      </w:pPr>
      <w:r>
        <w:rPr>
          <w:rFonts w:ascii="Times New Roman;serif" w:hAnsi="Times New Roman;serif"/>
          <w:b w:val="false"/>
          <w:color w:val="000000"/>
          <w:sz w:val="24"/>
        </w:rPr>
        <w:t>2.</w:t>
      </w:r>
      <w:r>
        <w:rPr>
          <w:rFonts w:ascii="Times New Roman;serif" w:hAnsi="Times New Roman;serif"/>
          <w:b/>
          <w:color w:val="000000"/>
          <w:sz w:val="20"/>
          <w:u w:val="single"/>
        </w:rPr>
        <w:t>Termination</w:t>
      </w:r>
      <w:r>
        <w:rPr>
          <w:rFonts w:ascii="Times New Roman;serif" w:hAnsi="Times New Roman;serif"/>
          <w:b w:val="false"/>
          <w:color w:val="000000"/>
          <w:sz w:val="20"/>
        </w:rPr>
        <w:t>. Except as otherwise provided in the Plan or Grant Notice, if Participant’s Continuous Service Status terminates at any time for any reason (including death or Disability), all RSUs for which vesting is no longer possible under the terms of the Grant Notice and this Agreement shall be forfeited to the Company on the date of such termination of Continuous Service Status, and all rights of Participant to such RSUs shall immediately terminate at such time. Subject to Applicable Law, in the event Participant’s Continuous Service Status is terminated by the Participant’s employer (together with the Participant’s former employer (if applicable), the “</w:t>
      </w:r>
      <w:r>
        <w:rPr>
          <w:rFonts w:ascii="Times New Roman;serif" w:hAnsi="Times New Roman;serif"/>
          <w:b w:val="false"/>
          <w:color w:val="000000"/>
          <w:sz w:val="20"/>
          <w:u w:val="single"/>
        </w:rPr>
        <w:t>Employer</w:t>
      </w:r>
      <w:r>
        <w:rPr>
          <w:color w:val="000000"/>
        </w:rPr>
        <w:t>”</w:t>
      </w:r>
      <w:r>
        <w:rPr>
          <w:rFonts w:ascii="Times New Roman;serif" w:hAnsi="Times New Roman;serif"/>
          <w:b w:val="false"/>
          <w:color w:val="000000"/>
          <w:sz w:val="20"/>
        </w:rPr>
        <w:t>) for Cause, then Participant’s vested but unsettled RSUs will also be forfeited upon the date of such termination, and Participant will have no further rights or interests with respect to such vested RSUs. Further, unless otherwise approved by the Company, Participant’s right to vest in the RSUs will terminate as of such date and will not be extended by any contractual notice period or any period of “garden leave” or similar notice period mandated under employment laws in the jurisdiction where Participant is employed or the terms of Participant’s employment agreement, if any. To the extent permitted by Section 409A of the Code, if Participant ceases to be an Employee but continues, or simultaneously commences, services as a Non-Employee Director, Participant shall be deemed to have had a termination of Continuous Service Status for purposes of this Agreement.</w:t>
      </w:r>
    </w:p>
    <w:p>
      <w:pPr>
        <w:pStyle w:val="TextBody"/>
        <w:bidi w:val="0"/>
        <w:spacing w:lineRule="auto" w:line="240" w:before="0" w:after="240"/>
        <w:ind w:left="0" w:right="0" w:firstLine="720"/>
        <w:jc w:val="both"/>
        <w:rPr/>
      </w:pPr>
      <w:r>
        <w:rPr>
          <w:rFonts w:ascii="Times New Roman;serif" w:hAnsi="Times New Roman;serif"/>
          <w:b w:val="false"/>
          <w:color w:val="000000"/>
          <w:sz w:val="24"/>
        </w:rPr>
        <w:t>3.</w:t>
      </w:r>
      <w:r>
        <w:rPr>
          <w:rFonts w:ascii="Times New Roman;serif" w:hAnsi="Times New Roman;serif"/>
          <w:b/>
          <w:color w:val="000000"/>
          <w:sz w:val="20"/>
          <w:u w:val="single"/>
        </w:rPr>
        <w:t>Responsibility for Taxes</w:t>
      </w:r>
      <w:r>
        <w:rPr>
          <w:rFonts w:ascii="Times New Roman;serif" w:hAnsi="Times New Roman;serif"/>
          <w:b w:val="false"/>
          <w:color w:val="000000"/>
          <w:sz w:val="20"/>
        </w:rPr>
        <w:t>. As a condition to the grant, vesting, and settlement of the RSUs, Participant acknowledges that, regardless of any action taken by the Company or, if different, the Employer, the ultimate liability for all income tax, social security contributions (including employer’s social security contributions to the extent such amounts may be lawfully recovered from or borne by the Participant), social insurance, payroll tax, fringe benefits tax, payment on account or other tax-related items (or any equivalent or similar taxes, contributions or other relevant tax-related items in any relevant jurisdiction) or required deductions, withholdings or payments legally applicable to him or her and related to the receipt, vesting or settlement of the RSUs, the issuance, holding or subsequent sale of the Shares allocated to the RSUs, or the participation in the Plan (“</w:t>
      </w:r>
      <w:r>
        <w:rPr>
          <w:rFonts w:ascii="Times New Roman;serif" w:hAnsi="Times New Roman;serif"/>
          <w:b w:val="false"/>
          <w:color w:val="000000"/>
          <w:sz w:val="20"/>
          <w:u w:val="single"/>
        </w:rPr>
        <w:t>Tax-Related Items</w:t>
      </w:r>
      <w:r>
        <w:rPr>
          <w:color w:val="000000"/>
        </w:rPr>
        <w:t>”</w:t>
      </w:r>
      <w:r>
        <w:rPr>
          <w:rFonts w:ascii="Times New Roman;serif" w:hAnsi="Times New Roman;serif"/>
          <w:b w:val="false"/>
          <w:color w:val="000000"/>
          <w:sz w:val="20"/>
        </w:rPr>
        <w:t>) is and remains Participant’s responsibility and may exceed the amount actually withheld by the Company or the Employer. Participant further acknowledges and agrees that Participant is solely responsible for filing all relevant documentation that may be required in relation to the RSUs or any Tax-Related Items (other than filings or documentation that is the specific obligation of the Company, its Parent, Subsidiaries or Affiliates (the “</w:t>
      </w:r>
      <w:r>
        <w:rPr>
          <w:rFonts w:ascii="Times New Roman;serif" w:hAnsi="Times New Roman;serif"/>
          <w:b w:val="false"/>
          <w:color w:val="000000"/>
          <w:sz w:val="20"/>
          <w:u w:val="single"/>
        </w:rPr>
        <w:t>Company Group</w:t>
      </w:r>
      <w:r>
        <w:rPr>
          <w:color w:val="000000"/>
        </w:rPr>
        <w:t>”</w:t>
      </w:r>
      <w:r>
        <w:rPr>
          <w:rFonts w:ascii="Times New Roman;serif" w:hAnsi="Times New Roman;serif"/>
          <w:b w:val="false"/>
          <w:color w:val="000000"/>
          <w:sz w:val="20"/>
        </w:rPr>
        <w:t>) pursuant to Applicable Laws), such as, but not limited to, personal income tax returns or reporting statements in relation to the receipt, vesting or settlement of the RSUs, the issuance of the Shares allocated to the RSUs, the holding of Shares or any bank or brokerage account, the subsequent sale of Shares, and the receipt of any dividends.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Participant further acknowledges that the Company and/or the Employer: (i) make no representations or undertakings regarding the treatment of any Tax-Related Items in connection with any aspect of the RSUs, including, but not limited to, the receipt, vesting or settlement of the RSUs, the issuance, holding or subsequent sale </w:t>
      </w:r>
    </w:p>
    <w:p>
      <w:pPr>
        <w:pStyle w:val="TextBody"/>
        <w:bidi w:val="0"/>
        <w:spacing w:before="0" w:after="0"/>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75260"/>
                <wp:effectExtent l="0" t="0" r="0" b="0"/>
                <wp:wrapNone/>
                <wp:docPr id="132" name="Frame1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of the Shares allocated to the RSUs and the receipt of any dividends; and (ii) do not commit to and are under no obligation to structure the terms of the grant or any aspect of the RSUs to reduce or eliminate Participant’s liability for Tax-Related Items or achieve any particular tax result. Participant also understands that Applicable Laws may require varying RSU or Share valuation methods for purposes of calculating Tax-Related Items, and the Company assumes no responsibility or liability in relation to any such valuation or for any calculation or reporting of income or Tax-Related Items that may be required of Participant under Applicable Laws.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By entering into this Agreement, Participant agrees to indemnify the Company, the Employer and any relevant Parent, Subsidiary or Affiliate, against all and any liability for any taxes or Tax-Related Items which may arise in respect of or in connection with the RSUs (or, for the avoidance of doubt, any RSUs granted or provided to Participant by way of rollover, assumption or replacement of the RSUs) or the Shares (or, for the avoidance of doubt, other shares or securities) issued or transferred pursuant to the vesting of the RSUs (or, for the avoidance of doubt, any RSUs granted or provided to Participant by way of rollover, assumption or replacement of the RSUs).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Further, if Participant is subject to Tax-Related Items in more than one jurisdiction between the Date of Grant and the date of any relevant taxable or tax withholding event, as applicable, Participant acknowledges that the Company and/or the Employer (or former employer, as applicable) may be required to withhold or account for Tax-Related Items in more than one jurisdiction.</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Prior to the relevant taxable or tax withholding event, as applicable, Participant agrees to make adequate arrangements satisfactory to the Company and/or the Employer to satisfy all Tax-Related Items. In this regard, pursuant to this Agreement and subject to the Grant Notice and Applicable Laws, unless otherwise determined by the Committee, Participant authorizes the Company and/or the Employer, or their respective agents, at their discretion, to satisfy Participant’s Tax Withholding Obligations by (i) withholding or deducting from Participant’s wages or other compensation paid to Participant by the Company or the Employer, (ii) withholding from proceeds of the sale of Shares acquired pursuant to the RSUs either through a voluntary sale or through a mandatory sale arranged by the Company (on Participant’s behalf pursuant to this authorization) without further consent, (iii) withholding Shares that would otherwise be issued upon settlement of the RSUs or (iv) such other method as determined by the Company.</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Depending on the method of satisfying the Tax Withholding Obligations, the Company and/or the Employer may pay, withhold or account for such Tax Withholding Obligations by considering applicable minimum statutory withholding amounts or other applicable tax or withholding rates, including maximum applicable rates, in which case Participant will (depending on the laws of the relevant jurisdiction) receive a refund of any over-withheld or over-paid amount in cash or otherwise be able to claim relief in respect of any such over-withheld or over-paid amount, and will in any event have no entitlement to the Share equivalent.</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Participant agrees to pay to the Company or the Employer any amount of Tax Withholding Obligations that the Company or the Employer may be required to pay, withhold or account for as a result of Participant’s receipt, vesting or settlement of the RSUs, the issuance or holding of the Shares allocated to the RSUs or the participation in the Plan that cannot be satisfied by the means previously described. The Company may refuse to issue or deliver the Shares or the proceeds of the sale of Shares if Participant fails to comply with his or her obligations in connection with the Tax Withholding Obligations.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Participant understands that Participant may suffer adverse tax consequences as a result of Participant’s receipt of the RSUs, the vesting and/or settlement of the RSUs, the issuance or holding of Shares allocated to the RSUs and/or the disposition of such Shares. Participant represents that Participant has consulted any tax consultants Participant deems advisable in connection with the receipt of the RSUs, the vesting and/or settlement of the RSUs, the issuance or holding of Shares allocated to the RSUs and/or the disposition of such Shares and that Participant is not relying on the Company (or the Employer) for any tax advice.</w:t>
      </w:r>
    </w:p>
    <w:p>
      <w:pPr>
        <w:pStyle w:val="TextBody"/>
        <w:bidi w:val="0"/>
        <w:spacing w:before="0" w:after="0"/>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46685"/>
                <wp:effectExtent l="0" t="0" r="0" b="0"/>
                <wp:wrapNone/>
                <wp:docPr id="133" name="Frame1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4"/>
        </w:rPr>
        <w:t>4.</w:t>
      </w:r>
      <w:r>
        <w:rPr>
          <w:rFonts w:ascii="Times New Roman;serif" w:hAnsi="Times New Roman;serif"/>
          <w:b/>
          <w:color w:val="000000"/>
          <w:sz w:val="20"/>
          <w:u w:val="single"/>
        </w:rPr>
        <w:t>Nature of Grant</w:t>
      </w:r>
      <w:r>
        <w:rPr>
          <w:rFonts w:ascii="Times New Roman;serif" w:hAnsi="Times New Roman;serif"/>
          <w:b w:val="false"/>
          <w:color w:val="000000"/>
          <w:sz w:val="20"/>
        </w:rPr>
        <w:t>. In accepting the RSUs, Participant acknowledges, understands and agrees that:</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0"/>
        </w:rPr>
        <w:t>the Plan is established voluntarily by the Company, is discretionary in nature, and may be amended, suspended or terminated by the Company at any time, to the extent permitted by the Plan;</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0"/>
        </w:rPr>
        <w:t>the grant of the RSUs is voluntary and occasional and does not create any contractual or other right to receive future grants of Restricted Stock Units, or benefits in lieu of Restricted Stock Units, even if Restricted Stock Units have been granted in the past;</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0"/>
        </w:rPr>
        <w:t>all decisions with respect to future Restricted Stock Units or other grants, if any, will be at the sole discretion of the Company;</w:t>
      </w:r>
    </w:p>
    <w:p>
      <w:pPr>
        <w:pStyle w:val="TextBody"/>
        <w:bidi w:val="0"/>
        <w:spacing w:lineRule="auto" w:line="240"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0"/>
        </w:rPr>
        <w:t>Participant is voluntarily participating in the Plan;</w:t>
      </w:r>
    </w:p>
    <w:p>
      <w:pPr>
        <w:pStyle w:val="TextBody"/>
        <w:bidi w:val="0"/>
        <w:spacing w:lineRule="auto" w:line="240" w:before="0" w:after="240"/>
        <w:ind w:left="0" w:right="0" w:firstLine="720"/>
        <w:jc w:val="both"/>
        <w:rPr/>
      </w:pPr>
      <w:r>
        <w:rPr>
          <w:rFonts w:ascii="Times New Roman;serif" w:hAnsi="Times New Roman;serif"/>
          <w:b w:val="false"/>
          <w:color w:val="000000"/>
          <w:sz w:val="24"/>
        </w:rPr>
        <w:t>(e)</w:t>
      </w:r>
      <w:r>
        <w:rPr>
          <w:rFonts w:ascii="Times New Roman;serif" w:hAnsi="Times New Roman;serif"/>
          <w:b w:val="false"/>
          <w:color w:val="000000"/>
          <w:sz w:val="20"/>
        </w:rPr>
        <w:t>the RSUs and the Shares allocated to the RSUs are not intended to replace any pension rights or compensation and are outside the scope of Participant’s employment contract, if any;</w:t>
      </w:r>
    </w:p>
    <w:p>
      <w:pPr>
        <w:pStyle w:val="TextBody"/>
        <w:bidi w:val="0"/>
        <w:spacing w:lineRule="auto" w:line="240" w:before="0" w:after="240"/>
        <w:ind w:left="0" w:right="0" w:firstLine="720"/>
        <w:jc w:val="both"/>
        <w:rPr/>
      </w:pPr>
      <w:r>
        <w:rPr>
          <w:rFonts w:ascii="Times New Roman;serif" w:hAnsi="Times New Roman;serif"/>
          <w:b w:val="false"/>
          <w:color w:val="000000"/>
          <w:sz w:val="24"/>
        </w:rPr>
        <w:t>(f)</w:t>
      </w:r>
      <w:r>
        <w:rPr>
          <w:rFonts w:ascii="Times New Roman;serif" w:hAnsi="Times New Roman;serif"/>
          <w:b w:val="false"/>
          <w:color w:val="000000"/>
          <w:sz w:val="20"/>
        </w:rPr>
        <w:t>the RSUs and the Shares allocated to the RSUs , and the income and value of same, are not part of normal or expected compensation for any purpose, including, without limitation, calculating any severance, resignation, termination, redundancy, dismissal, end-of-service payments, bonuses, long-service awards, pension or retirement or welfare benefits or similar payments;</w:t>
      </w:r>
    </w:p>
    <w:p>
      <w:pPr>
        <w:pStyle w:val="TextBody"/>
        <w:bidi w:val="0"/>
        <w:spacing w:lineRule="auto" w:line="240" w:before="0" w:after="240"/>
        <w:ind w:left="0" w:right="0" w:firstLine="720"/>
        <w:jc w:val="both"/>
        <w:rPr/>
      </w:pPr>
      <w:r>
        <w:rPr>
          <w:rFonts w:ascii="Times New Roman;serif" w:hAnsi="Times New Roman;serif"/>
          <w:b w:val="false"/>
          <w:color w:val="000000"/>
          <w:sz w:val="24"/>
        </w:rPr>
        <w:t>(g)</w:t>
      </w:r>
      <w:r>
        <w:rPr>
          <w:rFonts w:ascii="Times New Roman;serif" w:hAnsi="Times New Roman;serif"/>
          <w:b w:val="false"/>
          <w:color w:val="000000"/>
          <w:sz w:val="20"/>
        </w:rPr>
        <w:t>unless otherwise provided in the Plan or by the Company in its discretion, the RSUs and the benefits evidenced by this Agreement do not create any entitlement to have the RSUs or any such benefits transferred to, or assumed by, another company nor to be exchanged, cashed out or substituted for, in connection with any corporate transaction affecting the Shares; and</w:t>
      </w:r>
    </w:p>
    <w:p>
      <w:pPr>
        <w:pStyle w:val="TextBody"/>
        <w:bidi w:val="0"/>
        <w:spacing w:lineRule="auto" w:line="240" w:before="0" w:after="240"/>
        <w:ind w:left="0" w:right="0" w:firstLine="720"/>
        <w:jc w:val="both"/>
        <w:rPr/>
      </w:pPr>
      <w:r>
        <w:rPr>
          <w:rFonts w:ascii="Times New Roman;serif" w:hAnsi="Times New Roman;serif"/>
          <w:b w:val="false"/>
          <w:color w:val="000000"/>
          <w:sz w:val="24"/>
        </w:rPr>
        <w:t>(h)</w:t>
      </w:r>
      <w:r>
        <w:rPr>
          <w:rFonts w:ascii="Times New Roman;serif" w:hAnsi="Times New Roman;serif"/>
          <w:b w:val="false"/>
          <w:color w:val="000000"/>
          <w:sz w:val="20"/>
        </w:rPr>
        <w:t>no entity in the Company Group shall be liable for any foreign exchange rate fluctuation between Participant’s local currency and the United States Dollar or the selection by the Company or any member of the Company Group in its sole discretion of an applicable foreign exchange rate that may affect the value of the RSUs (or the calculation of income or Tax-Related Items thereunder) or of any amounts due to Participant pursuant to the settlement of the RSUs or the subsequent sale of the Shares allocated to the RSUs.</w:t>
      </w:r>
    </w:p>
    <w:p>
      <w:pPr>
        <w:pStyle w:val="TextBody"/>
        <w:bidi w:val="0"/>
        <w:spacing w:lineRule="auto" w:line="240" w:before="0" w:after="240"/>
        <w:ind w:left="0" w:right="0" w:firstLine="720"/>
        <w:jc w:val="both"/>
        <w:rPr/>
      </w:pPr>
      <w:r>
        <w:rPr>
          <w:rFonts w:ascii="Times New Roman;serif" w:hAnsi="Times New Roman;serif"/>
          <w:b w:val="false"/>
          <w:color w:val="000000"/>
          <w:sz w:val="24"/>
        </w:rPr>
        <w:t>5.</w:t>
      </w:r>
      <w:r>
        <w:rPr>
          <w:rFonts w:ascii="Times New Roman;serif" w:hAnsi="Times New Roman;serif"/>
          <w:b/>
          <w:color w:val="000000"/>
          <w:sz w:val="20"/>
          <w:u w:val="single"/>
        </w:rPr>
        <w:t>Section 409A of the U.S. Internal Revenue Code</w:t>
      </w:r>
      <w:r>
        <w:rPr>
          <w:rFonts w:ascii="Times New Roman;serif" w:hAnsi="Times New Roman;serif"/>
          <w:b w:val="false"/>
          <w:color w:val="000000"/>
          <w:sz w:val="20"/>
        </w:rPr>
        <w:t>. All payments made and benefits provided under this Agreement are intended to be exempt from or comply with the requirements of Section 409A of the Code so that none of the payments or benefits will be subject to the adverse tax penalties imposed under Section 409A. Each tranche of RSUs that vests, or is scheduled to vest, pursuant to the Grant Notice shall be designated as a “separate payment” for purposes of Treasury Regulation Section 1.409A-2(b)(2). Notwithstanding anything in the Plan or this Agreement to the contrary, if the vesting of all or a portion of any unvested RSUs is accelerated in connection with the Participant’s termination of Continuous Service Status (provided that such termination is a “separation from service” within the meaning of Section 409A, as determined by the Company), other than due to death</w:t>
      </w:r>
      <w:r>
        <w:rPr>
          <w:rFonts w:ascii="Times New Roman;serif" w:hAnsi="Times New Roman;serif"/>
          <w:b/>
          <w:color w:val="000000"/>
          <w:sz w:val="20"/>
        </w:rPr>
        <w:t xml:space="preserve">, </w:t>
      </w:r>
      <w:r>
        <w:rPr>
          <w:rFonts w:ascii="Times New Roman;serif" w:hAnsi="Times New Roman;serif"/>
          <w:b w:val="false"/>
          <w:color w:val="000000"/>
          <w:sz w:val="20"/>
        </w:rPr>
        <w:t xml:space="preserve">and if both (a) the Participant is a “specified employee” within the meaning of Section 409A of the Code at the time of such termination of Continuous Service Status, and (b) the payment of such accelerated RSUs would result in the imposition of additional tax under Section 409A of the Code if paid to the Participant within the 6 month period following the Participant’s termination of Continuous Service Status, then the payment of such accelerated RSUs will not be made until the date that is 6 months and 1 day following the date of the Participant’s termination of Continuous Service Status, unless the Participant dies following such Participant’s termination of Continuous Service Status, in which case, the RSUs will be paid in Shares to the Participant’s estate as soon as practicable following Participant’s death. Notwithstanding any provision to the contrary, to the extent the period for Participant to complete the Release Requirement, if applicable, begins in one calendar year and ends in a second </w:t>
      </w:r>
    </w:p>
    <w:p>
      <w:pPr>
        <w:pStyle w:val="TextBody"/>
        <w:bidi w:val="0"/>
        <w:spacing w:before="0" w:after="0"/>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46685"/>
                <wp:effectExtent l="0" t="0" r="0" b="0"/>
                <wp:wrapNone/>
                <wp:docPr id="134" name="Frame1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calendar year, any RSUs that would have otherwise been settled in the first calendar year will instead be settled in the second calendar year. </w:t>
      </w:r>
    </w:p>
    <w:p>
      <w:pPr>
        <w:pStyle w:val="TextBody"/>
        <w:bidi w:val="0"/>
        <w:spacing w:lineRule="auto" w:line="288" w:before="0" w:after="240"/>
        <w:ind w:left="0" w:right="0" w:firstLine="720"/>
        <w:jc w:val="both"/>
        <w:rPr/>
      </w:pPr>
      <w:r>
        <w:rPr>
          <w:rFonts w:ascii="Times New Roman;serif" w:hAnsi="Times New Roman;serif"/>
          <w:b w:val="false"/>
          <w:color w:val="000000"/>
          <w:sz w:val="24"/>
        </w:rPr>
        <w:t>6.</w:t>
      </w:r>
      <w:r>
        <w:rPr>
          <w:rFonts w:ascii="Times New Roman;serif" w:hAnsi="Times New Roman;serif"/>
          <w:b w:val="false"/>
          <w:color w:val="000000"/>
          <w:sz w:val="20"/>
        </w:rPr>
        <w:t>In no event will the Company reimburse Participant for any taxes or other penalties that may be imposed on Participant as a result of Section 409A and, by accepting the RSUs, Participant hereby indemnifies the Company for any liability that arises as a result of Section 409A.</w:t>
      </w:r>
    </w:p>
    <w:p>
      <w:pPr>
        <w:pStyle w:val="TextBody"/>
        <w:bidi w:val="0"/>
        <w:spacing w:lineRule="auto" w:line="240" w:before="0" w:after="240"/>
        <w:ind w:left="0" w:right="0" w:firstLine="720"/>
        <w:jc w:val="both"/>
        <w:rPr/>
      </w:pPr>
      <w:r>
        <w:rPr>
          <w:rFonts w:ascii="Times New Roman;serif" w:hAnsi="Times New Roman;serif"/>
          <w:b w:val="false"/>
          <w:color w:val="000000"/>
          <w:sz w:val="24"/>
        </w:rPr>
        <w:t>7.</w:t>
      </w:r>
      <w:r>
        <w:rPr>
          <w:rFonts w:ascii="Times New Roman;serif" w:hAnsi="Times New Roman;serif"/>
          <w:b/>
          <w:color w:val="000000"/>
          <w:sz w:val="20"/>
          <w:u w:val="single"/>
        </w:rPr>
        <w:t>No Advice Regarding Grant</w:t>
      </w:r>
      <w:r>
        <w:rPr>
          <w:rFonts w:ascii="Times New Roman;serif" w:hAnsi="Times New Roman;serif"/>
          <w:b w:val="false"/>
          <w:color w:val="000000"/>
          <w:sz w:val="20"/>
        </w:rPr>
        <w:t>. The Company is not providing any tax, legal or financial advice, nor is the Company making any recommendations regarding Participant’s participation in the Plan, or Participant’s receipt of the RSUs, the vesting or settlement of the RSUs or the Shares allocated thereto or the sale of such Shares. Participant is hereby advised to consult with his or her own personal tax, legal and financial advisors regarding his or her participation in the Plan and the RSUs before accepting the RSUs or otherwise taking any action related to the RSUs or the Plan.</w:t>
      </w:r>
    </w:p>
    <w:p>
      <w:pPr>
        <w:pStyle w:val="TextBody"/>
        <w:bidi w:val="0"/>
        <w:spacing w:lineRule="auto" w:line="240" w:before="0" w:after="240"/>
        <w:ind w:left="0" w:right="0" w:firstLine="720"/>
        <w:jc w:val="both"/>
        <w:rPr/>
      </w:pPr>
      <w:r>
        <w:rPr>
          <w:rFonts w:ascii="Times New Roman;serif" w:hAnsi="Times New Roman;serif"/>
          <w:b w:val="false"/>
          <w:color w:val="000000"/>
          <w:sz w:val="24"/>
        </w:rPr>
        <w:t>8.</w:t>
      </w:r>
      <w:r>
        <w:rPr>
          <w:rFonts w:ascii="Times New Roman;serif" w:hAnsi="Times New Roman;serif"/>
          <w:b/>
          <w:color w:val="000000"/>
          <w:sz w:val="20"/>
          <w:u w:val="single"/>
        </w:rPr>
        <w:t>Data Privacy</w:t>
      </w:r>
      <w:r>
        <w:rPr>
          <w:rFonts w:ascii="Times New Roman;serif" w:hAnsi="Times New Roman;serif"/>
          <w:b w:val="false"/>
          <w:color w:val="000000"/>
          <w:sz w:val="20"/>
        </w:rPr>
        <w:t>.</w:t>
      </w:r>
    </w:p>
    <w:p>
      <w:pPr>
        <w:pStyle w:val="TextBody"/>
        <w:bidi w:val="0"/>
        <w:spacing w:lineRule="auto" w:line="288" w:before="0" w:after="240"/>
        <w:ind w:left="0" w:right="0" w:firstLine="720"/>
        <w:jc w:val="both"/>
        <w:rPr/>
      </w:pPr>
      <w:r>
        <w:rPr>
          <w:rFonts w:ascii="Times New Roman;serif" w:hAnsi="Times New Roman;serif"/>
          <w:b/>
          <w:i/>
          <w:color w:val="000000"/>
          <w:sz w:val="20"/>
        </w:rPr>
        <w:t>Participant understands that the Company Group may hold certain personal information about Participant, including, but not limited to, Participant’s name, home address and telephone number, date of birth, social insurance number or other identification number, salary, nationality, job title, any Shares or directorships held in the Company, details of all Awards, or any other entitlement to Shares awarded, canceled, exercised, vested, unvested or outstanding in Participant’s favor (“</w:t>
      </w:r>
      <w:r>
        <w:rPr>
          <w:rFonts w:ascii="Times New Roman;serif" w:hAnsi="Times New Roman;serif"/>
          <w:b/>
          <w:i/>
          <w:color w:val="000000"/>
          <w:sz w:val="20"/>
          <w:u w:val="single"/>
        </w:rPr>
        <w:t>Data</w:t>
      </w:r>
      <w:r>
        <w:rPr>
          <w:color w:val="000000"/>
        </w:rPr>
        <w:t>”</w:t>
      </w:r>
      <w:r>
        <w:rPr>
          <w:rFonts w:ascii="Times New Roman;serif" w:hAnsi="Times New Roman;serif"/>
          <w:b/>
          <w:i/>
          <w:color w:val="000000"/>
          <w:sz w:val="20"/>
        </w:rPr>
        <w:t>), for the purpose of implementing, administering and managing the Plan, including, as the case may be, sensitive information pertaining to disability claims, (“</w:t>
      </w:r>
      <w:r>
        <w:rPr>
          <w:rFonts w:ascii="Times New Roman;serif" w:hAnsi="Times New Roman;serif"/>
          <w:b/>
          <w:i/>
          <w:color w:val="000000"/>
          <w:sz w:val="20"/>
          <w:u w:val="single"/>
        </w:rPr>
        <w:t>Data</w:t>
      </w:r>
      <w:r>
        <w:rPr>
          <w:color w:val="000000"/>
        </w:rPr>
        <w:t>”</w:t>
      </w:r>
      <w:r>
        <w:rPr>
          <w:rFonts w:ascii="Times New Roman;serif" w:hAnsi="Times New Roman;serif"/>
          <w:b/>
          <w:i/>
          <w:color w:val="000000"/>
          <w:sz w:val="20"/>
        </w:rPr>
        <w:t>), to the extent necessary for the sole purpose of implementing, administering and managing the Plan. Participant understands that Data will be transferred to such stock plan service provider as may be selected by the Company, presently or in the future, which may be assisting the Company with the implementation, administration and management of the Plan, to the extent necessary and for the sole purpose of the administration and management of the Plan.</w:t>
      </w:r>
    </w:p>
    <w:p>
      <w:pPr>
        <w:pStyle w:val="TextBody"/>
        <w:bidi w:val="0"/>
        <w:spacing w:lineRule="auto" w:line="288" w:before="0" w:after="240"/>
        <w:ind w:left="0" w:right="0" w:firstLine="720"/>
        <w:jc w:val="both"/>
        <w:rPr>
          <w:rFonts w:ascii="Times New Roman;serif" w:hAnsi="Times New Roman;serif"/>
          <w:b/>
          <w:i/>
          <w:color w:val="000000"/>
          <w:sz w:val="20"/>
        </w:rPr>
      </w:pPr>
      <w:r>
        <w:rPr>
          <w:rFonts w:ascii="Times New Roman;serif" w:hAnsi="Times New Roman;serif"/>
          <w:b/>
          <w:i/>
          <w:color w:val="000000"/>
          <w:sz w:val="20"/>
        </w:rPr>
        <w:t>Participant understands that the recipients of the Data may be located in the United States or elsewhere, and that the recipient’s country (e.g., the United States) may have different data privacy laws and protections than Participant’s country.</w:t>
      </w:r>
    </w:p>
    <w:p>
      <w:pPr>
        <w:pStyle w:val="TextBody"/>
        <w:bidi w:val="0"/>
        <w:spacing w:lineRule="auto" w:line="240" w:before="0" w:after="240"/>
        <w:ind w:left="0" w:right="0" w:firstLine="720"/>
        <w:jc w:val="both"/>
        <w:rPr/>
      </w:pPr>
      <w:r>
        <w:rPr>
          <w:rFonts w:ascii="Times New Roman;serif" w:hAnsi="Times New Roman;serif"/>
          <w:b w:val="false"/>
          <w:color w:val="000000"/>
          <w:sz w:val="24"/>
        </w:rPr>
        <w:t>9.</w:t>
      </w:r>
      <w:r>
        <w:rPr>
          <w:rFonts w:ascii="Times New Roman;serif" w:hAnsi="Times New Roman;serif"/>
          <w:b/>
          <w:color w:val="000000"/>
          <w:sz w:val="20"/>
          <w:u w:val="single"/>
        </w:rPr>
        <w:t>Miscellaneous</w:t>
      </w:r>
      <w:r>
        <w:rPr>
          <w:rFonts w:ascii="Times New Roman;serif" w:hAnsi="Times New Roman;serif"/>
          <w:b w:val="false"/>
          <w:color w:val="000000"/>
          <w:sz w:val="20"/>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color w:val="000000"/>
          <w:sz w:val="20"/>
          <w:u w:val="single"/>
        </w:rPr>
        <w:t>Governing Law and Venue</w:t>
      </w:r>
      <w:r>
        <w:rPr>
          <w:rFonts w:ascii="Times New Roman;serif" w:hAnsi="Times New Roman;serif"/>
          <w:b w:val="false"/>
          <w:color w:val="000000"/>
          <w:sz w:val="20"/>
        </w:rPr>
        <w:t>. This Agreement and all acts and transactions pursuant hereto and the rights and obligations of the parties hereto shall be governed, construed and interpreted in accordance with the laws of the State of Delaware, without giving effect to principles of conflicts of law. For purposes of any action, lawsuit or other proceedings brought to enforce this Agreement, relating to it, or arising from it, the parties hereby submit and consent to the sole and exclusive jurisdiction of the Court of Chancery of the State of Delaware located in Wilmington, Delaware (or, if the Court of Chancery of the State of Delaware declines to accept jurisdiction over a particular matter, any state court located in Wilmington, Delaware or the United States District Court for the District of Delaware) and appellate courts thereof, and no other courts, where this grant is made and/or to be performed.</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color w:val="000000"/>
          <w:sz w:val="20"/>
          <w:u w:val="single"/>
        </w:rPr>
        <w:t>Addendum and Sub-Plans</w:t>
      </w:r>
      <w:r>
        <w:rPr>
          <w:rFonts w:ascii="Times New Roman;serif" w:hAnsi="Times New Roman;serif"/>
          <w:b w:val="false"/>
          <w:color w:val="000000"/>
          <w:sz w:val="20"/>
        </w:rPr>
        <w:t xml:space="preserve">. Notwithstanding any provisions in this Agreement, the RSUs shall be subject to any special terms and conditions set forth in any Addendum to this Agreement for Participant’s country. Moreover, if Participant relocates to one of the countries included in any Addendum, the special terms and conditions for such country will apply to Participant, to the extent the Company determines that the application of such terms and conditions is necessary or advisable for legal or administrative reasons. Any Addendum that may be attached hereto constitutes part of this Agreement. Further, the Plan shall be deemed to include any special terms and conditions set forth in any applicable sub-plan for Participant’s country (if any), and, if Participant relocates to a country for which the Company has established a sub-plan, the special terms and </w:t>
      </w:r>
    </w:p>
    <w:p>
      <w:pPr>
        <w:pStyle w:val="TextBody"/>
        <w:bidi w:val="0"/>
        <w:spacing w:before="0" w:after="0"/>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46685"/>
                <wp:effectExtent l="0" t="0" r="0" b="0"/>
                <wp:wrapNone/>
                <wp:docPr id="135" name="Frame1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0"/>
        </w:rPr>
      </w:pPr>
      <w:r>
        <w:rPr>
          <w:rFonts w:ascii="Times New Roman;serif" w:hAnsi="Times New Roman;serif"/>
          <w:b w:val="false"/>
          <w:color w:val="000000"/>
          <w:sz w:val="20"/>
        </w:rPr>
        <w:t>conditions for such country will apply to Participant, to the extent the Company determines that the application of such terms and conditions is necessary or advisable for legal or administrative reasons.</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color w:val="000000"/>
          <w:sz w:val="20"/>
          <w:u w:val="single"/>
        </w:rPr>
        <w:t>Compensation Recovery</w:t>
      </w:r>
      <w:r>
        <w:rPr>
          <w:rFonts w:ascii="Times New Roman;serif" w:hAnsi="Times New Roman;serif"/>
          <w:b w:val="false"/>
          <w:color w:val="000000"/>
          <w:sz w:val="20"/>
        </w:rPr>
        <w:t>. Notwithstanding anything in the Grant Notice or RSU Agreement to the contrary, the Participant acknowledges and agrees that the Grant Notice and this RSU Agreement and the award described herein (and any settlement thereof) are subject to the terms and conditions of the Company’s clawback provisions, policy or policies (if any) as may exist or be in effect from time to time, including specifically to implement Section 10D of the Exchange Act and any applicable rules or regulations promulgated thereunder (including applicable rules and regulations of any national securities exchange on which the Shares at any point may be traded) (the “</w:t>
      </w:r>
      <w:r>
        <w:rPr>
          <w:rFonts w:ascii="Times New Roman;serif" w:hAnsi="Times New Roman;serif"/>
          <w:b w:val="false"/>
          <w:color w:val="000000"/>
          <w:sz w:val="20"/>
          <w:u w:val="single"/>
        </w:rPr>
        <w:t>Compensation Recovery Policy</w:t>
      </w:r>
      <w:r>
        <w:rPr>
          <w:color w:val="000000"/>
        </w:rPr>
        <w:t>”</w:t>
      </w:r>
      <w:r>
        <w:rPr>
          <w:rFonts w:ascii="Times New Roman;serif" w:hAnsi="Times New Roman;serif"/>
          <w:b w:val="false"/>
          <w:color w:val="000000"/>
          <w:sz w:val="20"/>
        </w:rPr>
        <w:t>), and that applicable provisions of the Grant Notice and this RSU Agreement (or any related documents) shall be interpreted consistently with (or deemed superseded by and/or subject to, as applicable) the terms and conditions of the Compensation Recovery Policy. Further, by accepting these RSUs, the Participant agrees (or has agreed) to fully cooperate with and assist the Company in connection with any of the Participant’s obligations to the Company pursuant to the Compensation Recovery Policy, and agrees (or has agreed) that the Company may enforce its rights under the Compensation Recovery Policy through any and all reasonable means permitted under applicable law as it deems necessary or desirable under the Compensation Recovery Policy, in each case from and after the effective dates thereof. Such cooperation and assistance shall include, but is not limited to, executing, completing and submitting any documentation necessary to facilitate the recovery or recoupment by the Company from the Participant of any such amounts, including from the Participants’ accounts or from any other compensation, to the extent permissible under Section 409A of the Code.</w:t>
      </w:r>
    </w:p>
    <w:p>
      <w:pPr>
        <w:pStyle w:val="TextBody"/>
        <w:bidi w:val="0"/>
        <w:spacing w:lineRule="auto" w:line="240" w:before="0" w:after="240"/>
        <w:ind w:left="0" w:right="0" w:firstLine="1440"/>
        <w:jc w:val="both"/>
        <w:rPr/>
      </w:pPr>
      <w:r>
        <w:rPr>
          <w:rFonts w:ascii="Times New Roman;serif" w:hAnsi="Times New Roman;serif"/>
          <w:b w:val="false"/>
          <w:color w:val="000000"/>
          <w:sz w:val="24"/>
        </w:rPr>
        <w:t>(d)</w:t>
      </w:r>
      <w:r>
        <w:rPr>
          <w:rFonts w:ascii="Times New Roman;serif" w:hAnsi="Times New Roman;serif"/>
          <w:b/>
          <w:color w:val="000000"/>
          <w:sz w:val="20"/>
          <w:u w:val="single"/>
        </w:rPr>
        <w:t>Entire Agreement; Enforcement of Rights; Amendment</w:t>
      </w:r>
      <w:r>
        <w:rPr>
          <w:rFonts w:ascii="Times New Roman;serif" w:hAnsi="Times New Roman;serif"/>
          <w:b w:val="false"/>
          <w:color w:val="000000"/>
          <w:sz w:val="20"/>
        </w:rPr>
        <w:t>. This Agreement, together with the Plan, and the Grant Notice sets forth the entire agreement and understanding of the parties relating to the subject matter herein and merges all prior or contemporaneous discussions between them. Except as contemplated by the Plan, no modification of or amendment to this Agreement, nor any waiver of any rights under this Agreement, shall be effective unless in writing signed by the parties to this Agreement to the extent it would materially and adversely affect the rights of Participant. The failure by either party to enforce any rights under this Agreement shall not be construed as a waiver of any rights of such party. Notwithstanding anything to the contrary in the Plan or this Agreement, the Company reserves the right to revise this Agreement as it deems necessary or advisable, in its sole discretion and without the consent of Participant, to comply with Code Section 409A or to otherwise avoid imposition of any additional tax or income recognition under Section 409A of the Code in connection with the RSUs.</w:t>
      </w:r>
    </w:p>
    <w:p>
      <w:pPr>
        <w:pStyle w:val="TextBody"/>
        <w:bidi w:val="0"/>
        <w:spacing w:lineRule="auto" w:line="240" w:before="0" w:after="240"/>
        <w:ind w:left="0" w:right="0" w:firstLine="1440"/>
        <w:jc w:val="both"/>
        <w:rPr/>
      </w:pPr>
      <w:r>
        <w:rPr>
          <w:rFonts w:ascii="Times New Roman;serif" w:hAnsi="Times New Roman;serif"/>
          <w:b w:val="false"/>
          <w:color w:val="000000"/>
          <w:sz w:val="24"/>
        </w:rPr>
        <w:t>(e)</w:t>
      </w:r>
      <w:r>
        <w:rPr>
          <w:rFonts w:ascii="Times New Roman;serif" w:hAnsi="Times New Roman;serif"/>
          <w:b/>
          <w:color w:val="000000"/>
          <w:sz w:val="20"/>
          <w:u w:val="single"/>
        </w:rPr>
        <w:t>Severability</w:t>
      </w:r>
      <w:r>
        <w:rPr>
          <w:rFonts w:ascii="Times New Roman;serif" w:hAnsi="Times New Roman;serif"/>
          <w:b w:val="false"/>
          <w:color w:val="000000"/>
          <w:sz w:val="20"/>
        </w:rPr>
        <w:t>. If one or more provisions of this Agreement, the Grant Notice or the Plan are held to be unenforceable under Applicable Laws, the parties agree to renegotiate such provision in good faith. In the event that the parties do not reach a mutually agreeable and enforceable replacement for such provision, then (i) such provision shall be excluded from this Agreement, the Grant Notice and the Plan, (ii) the balance of the Agreement, the Grant Notice and the Plan shall be interpreted as if such provision were so excluded and (iii) the balance of the Agreement, the Grant Notice and the Plan shall be enforceable in accordance with its terms.</w:t>
      </w:r>
    </w:p>
    <w:p>
      <w:pPr>
        <w:pStyle w:val="TextBody"/>
        <w:bidi w:val="0"/>
        <w:spacing w:lineRule="auto" w:line="240" w:before="0" w:after="240"/>
        <w:ind w:left="0" w:right="0" w:firstLine="1440"/>
        <w:jc w:val="both"/>
        <w:rPr/>
      </w:pPr>
      <w:r>
        <w:rPr>
          <w:rFonts w:ascii="Times New Roman;serif" w:hAnsi="Times New Roman;serif"/>
          <w:b w:val="false"/>
          <w:color w:val="000000"/>
          <w:sz w:val="24"/>
        </w:rPr>
        <w:t>(f)</w:t>
      </w:r>
      <w:r>
        <w:rPr>
          <w:rFonts w:ascii="Times New Roman;serif" w:hAnsi="Times New Roman;serif"/>
          <w:b/>
          <w:color w:val="000000"/>
          <w:sz w:val="20"/>
          <w:u w:val="single"/>
        </w:rPr>
        <w:t>Language</w:t>
      </w:r>
      <w:r>
        <w:rPr>
          <w:rFonts w:ascii="Times New Roman;serif" w:hAnsi="Times New Roman;serif"/>
          <w:b w:val="false"/>
          <w:color w:val="000000"/>
          <w:sz w:val="20"/>
        </w:rPr>
        <w:t>. If Participant has received this Agreement, the Grant Notice, the Plan or any other document related to the RSUs and/or the Plan translated into a language other than English and if the meaning of the translated version is different than the English version, the English version will control.</w:t>
      </w:r>
    </w:p>
    <w:p>
      <w:pPr>
        <w:pStyle w:val="TextBody"/>
        <w:bidi w:val="0"/>
        <w:spacing w:lineRule="auto" w:line="240" w:before="0" w:after="240"/>
        <w:ind w:left="0" w:right="0" w:firstLine="1440"/>
        <w:jc w:val="both"/>
        <w:rPr/>
      </w:pPr>
      <w:r>
        <w:rPr>
          <w:rFonts w:ascii="Times New Roman;serif" w:hAnsi="Times New Roman;serif"/>
          <w:b w:val="false"/>
          <w:color w:val="000000"/>
          <w:sz w:val="24"/>
        </w:rPr>
        <w:t>(g)</w:t>
      </w:r>
      <w:r>
        <w:rPr>
          <w:rFonts w:ascii="Times New Roman;serif" w:hAnsi="Times New Roman;serif"/>
          <w:b/>
          <w:color w:val="000000"/>
          <w:sz w:val="20"/>
          <w:u w:val="single"/>
        </w:rPr>
        <w:t>Imposition of Other Requirements</w:t>
      </w:r>
      <w:r>
        <w:rPr>
          <w:rFonts w:ascii="Times New Roman;serif" w:hAnsi="Times New Roman;serif"/>
          <w:b w:val="false"/>
          <w:color w:val="000000"/>
          <w:sz w:val="20"/>
        </w:rPr>
        <w:t xml:space="preserve">. The Company reserves the right to impose other requirements on Participant’s participation in the Plan, on the RSUs and on any Shares allocated to the RSUs, to the extent the Company determines it is necessary or advisable for legal or administrative reasons, and to require Participant to sign any additional agreements or undertakings that may be necessary to accomplish the foregoing. Participant also acknowledges that the Applicable Laws of the country in which Participant is residing or working at the time of grant, vesting and settlement of the RSUs or the sale of Shares received pursuant to the RSUs (including any rules or regulations governing securities, foreign exchange, tax, labor, or other matters) may subject Participant to additional procedural or regulatory requirements that Participant is and will be solely responsible for and must fulfill. Such requirements may be outlined in, but are not limited to, any Addendum attached hereto. </w:t>
      </w:r>
    </w:p>
    <w:p>
      <w:pPr>
        <w:pStyle w:val="TextBody"/>
        <w:bidi w:val="0"/>
        <w:spacing w:before="0" w:after="0"/>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46685"/>
                <wp:effectExtent l="0" t="0" r="0" b="0"/>
                <wp:wrapNone/>
                <wp:docPr id="136" name="Frame1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0"/>
        </w:rPr>
      </w:pPr>
      <w:r>
        <w:rPr>
          <w:rFonts w:ascii="Times New Roman;serif" w:hAnsi="Times New Roman;serif"/>
          <w:b w:val="false"/>
          <w:color w:val="000000"/>
          <w:sz w:val="20"/>
        </w:rPr>
        <w:t>Notwithstanding any provision herein, the RSUs and Participant’s participation in the Plan shall be subject to any applicable special terms and conditions or disclosures as set forth in any Addendum attached hereto.</w:t>
      </w:r>
    </w:p>
    <w:p>
      <w:pPr>
        <w:pStyle w:val="TextBody"/>
        <w:bidi w:val="0"/>
        <w:spacing w:lineRule="auto" w:line="240" w:before="0" w:after="240"/>
        <w:ind w:left="0" w:right="0" w:firstLine="1440"/>
        <w:jc w:val="both"/>
        <w:rPr/>
      </w:pPr>
      <w:r>
        <w:rPr>
          <w:rFonts w:ascii="Times New Roman;serif" w:hAnsi="Times New Roman;serif"/>
          <w:b w:val="false"/>
          <w:color w:val="000000"/>
          <w:sz w:val="24"/>
        </w:rPr>
        <w:t>(h)</w:t>
      </w:r>
      <w:r>
        <w:rPr>
          <w:rFonts w:ascii="Times New Roman;serif" w:hAnsi="Times New Roman;serif"/>
          <w:b/>
          <w:color w:val="000000"/>
          <w:sz w:val="20"/>
          <w:u w:val="single"/>
        </w:rPr>
        <w:t>Notices</w:t>
      </w:r>
      <w:r>
        <w:rPr>
          <w:rFonts w:ascii="Times New Roman;serif" w:hAnsi="Times New Roman;serif"/>
          <w:b w:val="false"/>
          <w:color w:val="000000"/>
          <w:sz w:val="20"/>
        </w:rPr>
        <w:t>. Any notice, demand or request required or permitted to be given under this Agreement shall be in writing and shall be deemed sufficient when delivered personally or by overnight courier or sent by email or fax, or 48 hours after being deposited in the U.S. mail or a comparable foreign mail service, as certified or registered mail with postage or shipping charges prepaid, addressed to the party to be notified at such party’s address as set forth on the signature page, as subsequently modified by written notice, or if no address is specified on the signature page, at the most recent address, email or fax number set forth in the Company’s books and records.</w:t>
      </w:r>
    </w:p>
    <w:p>
      <w:pPr>
        <w:pStyle w:val="TextBody"/>
        <w:bidi w:val="0"/>
        <w:spacing w:lineRule="auto" w:line="240" w:before="0" w:after="240"/>
        <w:ind w:left="0" w:right="0" w:firstLine="1440"/>
        <w:jc w:val="both"/>
        <w:rPr/>
      </w:pPr>
      <w:r>
        <w:rPr>
          <w:rFonts w:ascii="Times New Roman;serif" w:hAnsi="Times New Roman;serif"/>
          <w:b w:val="false"/>
          <w:color w:val="000000"/>
          <w:sz w:val="24"/>
        </w:rPr>
        <w:t>(i)</w:t>
      </w:r>
      <w:r>
        <w:rPr>
          <w:rFonts w:ascii="Times New Roman;serif" w:hAnsi="Times New Roman;serif"/>
          <w:b/>
          <w:color w:val="000000"/>
          <w:sz w:val="20"/>
          <w:u w:val="single"/>
        </w:rPr>
        <w:t>Counterparts</w:t>
      </w:r>
      <w:r>
        <w:rPr>
          <w:rFonts w:ascii="Times New Roman;serif" w:hAnsi="Times New Roman;serif"/>
          <w:b w:val="false"/>
          <w:color w:val="000000"/>
          <w:sz w:val="20"/>
        </w:rPr>
        <w:t>. This Agreement may be executed in two or more counterparts, each of which shall be deemed an original and all of which together shall constitute one instrument. Facsimile, email or other electronic execution and delivery of this Agreement (including but not limited to execution by electronic signature or click-through electronic acceptance) shall constitute valid and binding execution and delivery for all purposes and shall be deemed to be, and have the effect of, an original signature.</w:t>
      </w:r>
    </w:p>
    <w:p>
      <w:pPr>
        <w:pStyle w:val="TextBody"/>
        <w:bidi w:val="0"/>
        <w:spacing w:lineRule="auto" w:line="240" w:before="0" w:after="240"/>
        <w:ind w:left="0" w:right="0" w:firstLine="1440"/>
        <w:jc w:val="left"/>
        <w:rPr/>
      </w:pPr>
      <w:r>
        <w:rPr>
          <w:rFonts w:ascii="Times New Roman;serif" w:hAnsi="Times New Roman;serif"/>
          <w:b w:val="false"/>
          <w:color w:val="000000"/>
          <w:sz w:val="24"/>
        </w:rPr>
        <w:t>(j)</w:t>
      </w:r>
      <w:r>
        <w:rPr>
          <w:rFonts w:ascii="Times New Roman;serif" w:hAnsi="Times New Roman;serif"/>
          <w:b/>
          <w:color w:val="000000"/>
          <w:sz w:val="20"/>
          <w:u w:val="single"/>
        </w:rPr>
        <w:t>Successors and Assigns</w:t>
      </w:r>
      <w:r>
        <w:rPr>
          <w:rFonts w:ascii="Times New Roman;serif" w:hAnsi="Times New Roman;serif"/>
          <w:b w:val="false"/>
          <w:color w:val="000000"/>
          <w:sz w:val="20"/>
        </w:rPr>
        <w:t>. The rights and benefits of this Agreement shall inure to the benefit of and be enforceable by the Company’s successors and assigns. The rights and obligations of Participant under this Agreement may only be assigned with the prior written consent of the Company.</w:t>
      </w:r>
    </w:p>
    <w:p>
      <w:pPr>
        <w:pStyle w:val="TextBody"/>
        <w:bidi w:val="0"/>
        <w:spacing w:lineRule="auto" w:line="240" w:before="0" w:after="240"/>
        <w:ind w:left="0" w:right="0" w:firstLine="1440"/>
        <w:jc w:val="both"/>
        <w:rPr/>
      </w:pPr>
      <w:r>
        <w:rPr>
          <w:rFonts w:ascii="Times New Roman;serif" w:hAnsi="Times New Roman;serif"/>
          <w:b w:val="false"/>
          <w:color w:val="000000"/>
          <w:sz w:val="24"/>
        </w:rPr>
        <w:t>(k)</w:t>
      </w:r>
      <w:r>
        <w:rPr>
          <w:rFonts w:ascii="Times New Roman;serif" w:hAnsi="Times New Roman;serif"/>
          <w:b/>
          <w:color w:val="000000"/>
          <w:sz w:val="20"/>
          <w:u w:val="single"/>
        </w:rPr>
        <w:t>Electronic Delivery</w:t>
      </w:r>
      <w:r>
        <w:rPr>
          <w:rFonts w:ascii="Times New Roman;serif" w:hAnsi="Times New Roman;serif"/>
          <w:b w:val="false"/>
          <w:color w:val="000000"/>
          <w:sz w:val="20"/>
        </w:rPr>
        <w:t>. The Company may, in its sole discretion, decide to deliver to Participant by email or any other electronic means any documents, elections or notices related to this Agreement, the RSUs, the Shares allocated to the RSUs, Participant’s current or future participation in the Plan, securities of the Company or any member of the Company Group or any other matter, including documents, elections and/or notices required to be delivered to Participant by applicable securities law or any other Applicable Laws or the Company’s Amended Certificate of Incorporation or Bylaws. By accepting this Agreement, whether electronically or otherwise, Participant hereby consents to receive such documents and notices by such electronic delivery and agrees to participate in the Plan through an on-line or electronic system established and maintained by the Company or a third party designated by the Company, including but not limited to the use of electronic signatures or click-through electronic acceptance of terms and conditions.</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10.43</w:t>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46685"/>
                <wp:effectExtent l="0" t="0" r="0" b="0"/>
                <wp:wrapNone/>
                <wp:docPr id="137" name="Frame1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14.2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SOTERA HEALTH COMPANY</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2020 OMNIBUS INCENTIVE PLAN</w:t>
      </w:r>
    </w:p>
    <w:p>
      <w:pPr>
        <w:pStyle w:val="TextBody"/>
        <w:bidi w:val="0"/>
        <w:spacing w:lineRule="auto" w:line="288" w:before="240" w:after="240"/>
        <w:jc w:val="center"/>
        <w:rPr>
          <w:rFonts w:ascii="Times New Roman;serif" w:hAnsi="Times New Roman;serif"/>
          <w:b/>
          <w:color w:val="000000"/>
          <w:sz w:val="20"/>
          <w:u w:val="single"/>
        </w:rPr>
      </w:pPr>
      <w:r>
        <w:rPr>
          <w:rFonts w:ascii="Times New Roman;serif" w:hAnsi="Times New Roman;serif"/>
          <w:b/>
          <w:color w:val="000000"/>
          <w:sz w:val="20"/>
          <w:u w:val="single"/>
        </w:rPr>
        <w:t>RESTRICTED STOCK UNIT GRANT NOTICE</w:t>
      </w:r>
    </w:p>
    <w:p>
      <w:pPr>
        <w:pStyle w:val="TextBody"/>
        <w:bidi w:val="0"/>
        <w:spacing w:lineRule="auto" w:line="288" w:before="0" w:after="240"/>
        <w:ind w:left="0" w:right="0" w:firstLine="720"/>
        <w:jc w:val="both"/>
        <w:rPr/>
      </w:pPr>
      <w:r>
        <w:rPr>
          <w:rFonts w:ascii="Times New Roman;serif" w:hAnsi="Times New Roman;serif"/>
          <w:b w:val="false"/>
          <w:color w:val="000000"/>
          <w:sz w:val="20"/>
        </w:rPr>
        <w:t>Sotera Health Company, a Delaware corporation (the “</w:t>
      </w:r>
      <w:r>
        <w:rPr>
          <w:rFonts w:ascii="Times New Roman;serif" w:hAnsi="Times New Roman;serif"/>
          <w:b w:val="false"/>
          <w:color w:val="000000"/>
          <w:sz w:val="20"/>
          <w:u w:val="single"/>
        </w:rPr>
        <w:t>Company</w:t>
      </w:r>
      <w:r>
        <w:rPr>
          <w:color w:val="000000"/>
        </w:rPr>
        <w:t>”</w:t>
      </w:r>
      <w:r>
        <w:rPr>
          <w:rFonts w:ascii="Times New Roman;serif" w:hAnsi="Times New Roman;serif"/>
          <w:b w:val="false"/>
          <w:color w:val="000000"/>
          <w:sz w:val="20"/>
        </w:rPr>
        <w:t>), pursuant to the Sotera Health Company 2020 Omnibus Incentive Plan and any applicable sub-plan for a particular country, as applicable (together, the “</w:t>
      </w:r>
      <w:r>
        <w:rPr>
          <w:rFonts w:ascii="Times New Roman;serif" w:hAnsi="Times New Roman;serif"/>
          <w:b w:val="false"/>
          <w:color w:val="000000"/>
          <w:sz w:val="20"/>
          <w:u w:val="single"/>
        </w:rPr>
        <w:t>Plan</w:t>
      </w:r>
      <w:r>
        <w:rPr>
          <w:color w:val="000000"/>
        </w:rPr>
        <w:t>”</w:t>
      </w:r>
      <w:r>
        <w:rPr>
          <w:rFonts w:ascii="Times New Roman;serif" w:hAnsi="Times New Roman;serif"/>
          <w:b w:val="false"/>
          <w:color w:val="000000"/>
          <w:sz w:val="20"/>
        </w:rPr>
        <w:t>), has granted to the participant set forth below (the “</w:t>
      </w:r>
      <w:r>
        <w:rPr>
          <w:rFonts w:ascii="Times New Roman;serif" w:hAnsi="Times New Roman;serif"/>
          <w:b w:val="false"/>
          <w:color w:val="000000"/>
          <w:sz w:val="20"/>
          <w:u w:val="single"/>
        </w:rPr>
        <w:t>Participant</w:t>
      </w:r>
      <w:r>
        <w:rPr>
          <w:color w:val="000000"/>
        </w:rPr>
        <w:t>”</w:t>
      </w:r>
      <w:r>
        <w:rPr>
          <w:rFonts w:ascii="Times New Roman;serif" w:hAnsi="Times New Roman;serif"/>
          <w:b w:val="false"/>
          <w:color w:val="000000"/>
          <w:sz w:val="20"/>
        </w:rPr>
        <w:t>), as of the date set forth below (the “</w:t>
      </w:r>
      <w:r>
        <w:rPr>
          <w:rFonts w:ascii="Times New Roman;serif" w:hAnsi="Times New Roman;serif"/>
          <w:b w:val="false"/>
          <w:color w:val="000000"/>
          <w:sz w:val="20"/>
          <w:u w:val="single"/>
        </w:rPr>
        <w:t>Date of Grant</w:t>
      </w:r>
      <w:r>
        <w:rPr>
          <w:color w:val="000000"/>
        </w:rPr>
        <w:t>”</w:t>
      </w:r>
      <w:r>
        <w:rPr>
          <w:rFonts w:ascii="Times New Roman;serif" w:hAnsi="Times New Roman;serif"/>
          <w:b w:val="false"/>
          <w:color w:val="000000"/>
          <w:sz w:val="20"/>
        </w:rPr>
        <w:t>), a Restricted Stock Unit award covering the number of units set forth below, each of which represents one Share of the Company’s Common Stock (the “</w:t>
      </w:r>
      <w:r>
        <w:rPr>
          <w:rFonts w:ascii="Times New Roman;serif" w:hAnsi="Times New Roman;serif"/>
          <w:b w:val="false"/>
          <w:color w:val="000000"/>
          <w:sz w:val="20"/>
          <w:u w:val="single"/>
        </w:rPr>
        <w:t>RSUs</w:t>
      </w:r>
      <w:r>
        <w:rPr>
          <w:color w:val="000000"/>
        </w:rPr>
        <w:t>”</w:t>
      </w:r>
      <w:r>
        <w:rPr>
          <w:rFonts w:ascii="Times New Roman;serif" w:hAnsi="Times New Roman;serif"/>
          <w:b w:val="false"/>
          <w:color w:val="000000"/>
          <w:sz w:val="20"/>
        </w:rPr>
        <w:t>). The RSUs are subject to all of the terms and conditions set forth in this Restricted Stock Unit Grant Notice (the “</w:t>
      </w:r>
      <w:r>
        <w:rPr>
          <w:rFonts w:ascii="Times New Roman;serif" w:hAnsi="Times New Roman;serif"/>
          <w:b w:val="false"/>
          <w:color w:val="000000"/>
          <w:sz w:val="20"/>
          <w:u w:val="single"/>
        </w:rPr>
        <w:t>Grant Notice</w:t>
      </w:r>
      <w:r>
        <w:rPr>
          <w:color w:val="000000"/>
        </w:rPr>
        <w:t>”</w:t>
      </w:r>
      <w:r>
        <w:rPr>
          <w:rFonts w:ascii="Times New Roman;serif" w:hAnsi="Times New Roman;serif"/>
          <w:b w:val="false"/>
          <w:color w:val="000000"/>
          <w:sz w:val="20"/>
        </w:rPr>
        <w:t>), the Restricted Stock Unit Agreement (the “</w:t>
      </w:r>
      <w:r>
        <w:rPr>
          <w:rFonts w:ascii="Times New Roman;serif" w:hAnsi="Times New Roman;serif"/>
          <w:b w:val="false"/>
          <w:color w:val="000000"/>
          <w:sz w:val="20"/>
          <w:u w:val="single"/>
        </w:rPr>
        <w:t>RSU Agreement</w:t>
      </w:r>
      <w:r>
        <w:rPr>
          <w:color w:val="000000"/>
        </w:rPr>
        <w:t>”</w:t>
      </w:r>
      <w:r>
        <w:rPr>
          <w:rFonts w:ascii="Times New Roman;serif" w:hAnsi="Times New Roman;serif"/>
          <w:b w:val="false"/>
          <w:color w:val="000000"/>
          <w:sz w:val="20"/>
        </w:rPr>
        <w:t>), the Performance Memorandum (the “</w:t>
      </w:r>
      <w:r>
        <w:rPr>
          <w:rFonts w:ascii="Times New Roman;serif" w:hAnsi="Times New Roman;serif"/>
          <w:b w:val="false"/>
          <w:color w:val="000000"/>
          <w:sz w:val="20"/>
          <w:u w:val="single"/>
        </w:rPr>
        <w:t>Performance Memo</w:t>
      </w:r>
      <w:r>
        <w:rPr>
          <w:color w:val="000000"/>
        </w:rPr>
        <w:t>”</w:t>
      </w:r>
      <w:r>
        <w:rPr>
          <w:rFonts w:ascii="Times New Roman;serif" w:hAnsi="Times New Roman;serif"/>
          <w:b w:val="false"/>
          <w:color w:val="000000"/>
          <w:sz w:val="20"/>
        </w:rPr>
        <w:t>) and the Plan, each of which are being provided to you with this Grant Notice and incorporated herein in their entirety. Capitalized terms not explicitly defined in this Grant Notice but defined in the Plan, the RSU Agreement, or the Performance Memo will have the same definitions as in the Plan the RSU Agreement, or the Performance Memo. In the event of any conflict between the terms of the Grant Notice and the Plan, the terms of the Plan will control.</w:t>
      </w:r>
    </w:p>
    <w:tbl>
      <w:tblPr>
        <w:tblW w:w="10205" w:type="dxa"/>
        <w:jc w:val="left"/>
        <w:tblInd w:w="0" w:type="dxa"/>
        <w:tblLayout w:type="fixed"/>
        <w:tblCellMar>
          <w:top w:w="28" w:type="dxa"/>
          <w:left w:w="28" w:type="dxa"/>
          <w:bottom w:w="28" w:type="dxa"/>
          <w:right w:w="28" w:type="dxa"/>
        </w:tblCellMar>
      </w:tblPr>
      <w:tblGrid>
        <w:gridCol w:w="781"/>
        <w:gridCol w:w="687"/>
        <w:gridCol w:w="653"/>
        <w:gridCol w:w="2367"/>
        <w:gridCol w:w="2367"/>
        <w:gridCol w:w="3350"/>
      </w:tblGrid>
      <w:tr>
        <w:trPr/>
        <w:tc>
          <w:tcPr>
            <w:tcW w:w="7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2367" w:type="dxa"/>
            <w:tcBorders/>
            <w:vAlign w:val="center"/>
          </w:tcPr>
          <w:p>
            <w:pPr>
              <w:pStyle w:val="TableContents"/>
              <w:bidi w:val="0"/>
              <w:spacing w:before="0" w:after="283"/>
              <w:jc w:val="left"/>
              <w:rPr>
                <w:sz w:val="4"/>
                <w:szCs w:val="4"/>
              </w:rPr>
            </w:pPr>
            <w:r>
              <w:rPr>
                <w:sz w:val="4"/>
                <w:szCs w:val="4"/>
              </w:rPr>
            </w:r>
          </w:p>
        </w:tc>
        <w:tc>
          <w:tcPr>
            <w:tcW w:w="2367" w:type="dxa"/>
            <w:tcBorders/>
            <w:vAlign w:val="center"/>
          </w:tcPr>
          <w:p>
            <w:pPr>
              <w:pStyle w:val="TableContents"/>
              <w:bidi w:val="0"/>
              <w:spacing w:before="0" w:after="283"/>
              <w:jc w:val="left"/>
              <w:rPr>
                <w:sz w:val="4"/>
                <w:szCs w:val="4"/>
              </w:rPr>
            </w:pPr>
            <w:r>
              <w:rPr>
                <w:sz w:val="4"/>
                <w:szCs w:val="4"/>
              </w:rPr>
            </w:r>
          </w:p>
        </w:tc>
        <w:tc>
          <w:tcPr>
            <w:tcW w:w="3350" w:type="dxa"/>
            <w:tcBorders/>
            <w:vAlign w:val="center"/>
          </w:tcPr>
          <w:p>
            <w:pPr>
              <w:pStyle w:val="TableContents"/>
              <w:bidi w:val="0"/>
              <w:spacing w:before="0" w:after="283"/>
              <w:jc w:val="left"/>
              <w:rPr>
                <w:sz w:val="4"/>
                <w:szCs w:val="4"/>
              </w:rPr>
            </w:pPr>
            <w:r>
              <w:rPr>
                <w:sz w:val="4"/>
                <w:szCs w:val="4"/>
              </w:rPr>
            </w:r>
          </w:p>
        </w:tc>
      </w:tr>
      <w:tr>
        <w:trPr/>
        <w:tc>
          <w:tcPr>
            <w:tcW w:w="2121"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color w:val="000000"/>
                <w:sz w:val="20"/>
              </w:rPr>
            </w:pPr>
            <w:r>
              <w:rPr>
                <w:rFonts w:ascii="Times New Roman;serif" w:hAnsi="Times New Roman;serif"/>
                <w:b/>
                <w:color w:val="000000"/>
                <w:sz w:val="20"/>
              </w:rPr>
              <w:t>1. Participant:</w:t>
            </w:r>
          </w:p>
        </w:tc>
        <w:tc>
          <w:tcPr>
            <w:tcW w:w="8084"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__________</w:t>
            </w:r>
          </w:p>
        </w:tc>
      </w:tr>
      <w:tr>
        <w:trPr/>
        <w:tc>
          <w:tcPr>
            <w:tcW w:w="2121"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color w:val="000000"/>
                <w:sz w:val="20"/>
              </w:rPr>
            </w:pPr>
            <w:r>
              <w:rPr>
                <w:rFonts w:ascii="Times New Roman;serif" w:hAnsi="Times New Roman;serif"/>
                <w:b/>
                <w:color w:val="000000"/>
                <w:sz w:val="20"/>
              </w:rPr>
              <w:t>2. Date of Grant:</w:t>
            </w:r>
          </w:p>
        </w:tc>
        <w:tc>
          <w:tcPr>
            <w:tcW w:w="8084"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__________</w:t>
            </w:r>
          </w:p>
        </w:tc>
      </w:tr>
      <w:tr>
        <w:trPr/>
        <w:tc>
          <w:tcPr>
            <w:tcW w:w="2121"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color w:val="000000"/>
                <w:sz w:val="20"/>
              </w:rPr>
            </w:pPr>
            <w:r>
              <w:rPr>
                <w:rFonts w:ascii="Times New Roman;serif" w:hAnsi="Times New Roman;serif"/>
                <w:b/>
                <w:color w:val="000000"/>
                <w:sz w:val="20"/>
              </w:rPr>
              <w:t>3. Vesting Commencement Date (the “Vesting Commencement Date”):</w:t>
            </w:r>
          </w:p>
        </w:tc>
        <w:tc>
          <w:tcPr>
            <w:tcW w:w="8084"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__________</w:t>
            </w:r>
          </w:p>
        </w:tc>
      </w:tr>
      <w:tr>
        <w:trPr/>
        <w:tc>
          <w:tcPr>
            <w:tcW w:w="2121" w:type="dxa"/>
            <w:gridSpan w:val="3"/>
            <w:tcBorders/>
            <w:tcMar>
              <w:top w:w="0" w:type="dxa"/>
              <w:left w:w="0" w:type="dxa"/>
              <w:bottom w:w="0" w:type="dxa"/>
              <w:right w:w="0" w:type="dxa"/>
            </w:tcMar>
            <w:vAlign w:val="center"/>
          </w:tcPr>
          <w:p>
            <w:pPr>
              <w:pStyle w:val="TableContents"/>
              <w:bidi w:val="0"/>
              <w:spacing w:lineRule="auto" w:line="288" w:before="0" w:after="240"/>
              <w:jc w:val="left"/>
              <w:rPr/>
            </w:pPr>
            <w:r>
              <w:rPr>
                <w:rFonts w:ascii="Times New Roman;serif" w:hAnsi="Times New Roman;serif"/>
                <w:b/>
                <w:color w:val="000000"/>
                <w:sz w:val="20"/>
              </w:rPr>
              <w:t>4. Number of RSUs (“</w:t>
            </w:r>
            <w:r>
              <w:rPr>
                <w:rFonts w:ascii="Times New Roman;serif" w:hAnsi="Times New Roman;serif"/>
                <w:b/>
                <w:color w:val="000000"/>
                <w:sz w:val="20"/>
                <w:u w:val="single"/>
              </w:rPr>
              <w:t>Target</w:t>
            </w:r>
            <w:r>
              <w:rPr>
                <w:color w:val="000000"/>
              </w:rPr>
              <w:t>”</w:t>
            </w:r>
            <w:r>
              <w:rPr>
                <w:rFonts w:ascii="Times New Roman;serif" w:hAnsi="Times New Roman;serif"/>
                <w:b/>
                <w:color w:val="000000"/>
                <w:sz w:val="20"/>
              </w:rPr>
              <w:t>):</w:t>
            </w:r>
          </w:p>
        </w:tc>
        <w:tc>
          <w:tcPr>
            <w:tcW w:w="8084"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__________</w:t>
            </w:r>
          </w:p>
        </w:tc>
      </w:tr>
      <w:tr>
        <w:trPr/>
        <w:tc>
          <w:tcPr>
            <w:tcW w:w="2121"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color w:val="000000"/>
                <w:sz w:val="20"/>
              </w:rPr>
            </w:pPr>
            <w:r>
              <w:rPr>
                <w:rFonts w:ascii="Times New Roman;serif" w:hAnsi="Times New Roman;serif"/>
                <w:b/>
                <w:color w:val="000000"/>
                <w:sz w:val="20"/>
              </w:rPr>
              <w:t>5. Normal Vesting Schedule:</w:t>
            </w:r>
          </w:p>
        </w:tc>
        <w:tc>
          <w:tcPr>
            <w:tcW w:w="8084" w:type="dxa"/>
            <w:gridSpan w:val="3"/>
            <w:tcBorders/>
            <w:tcMar>
              <w:top w:w="0" w:type="dxa"/>
              <w:left w:w="0" w:type="dxa"/>
              <w:bottom w:w="0" w:type="dxa"/>
              <w:right w:w="0" w:type="dxa"/>
            </w:tcMar>
            <w:vAlign w:val="center"/>
          </w:tcPr>
          <w:p>
            <w:pPr>
              <w:pStyle w:val="TableContents"/>
              <w:bidi w:val="0"/>
              <w:spacing w:lineRule="auto" w:line="288" w:before="0" w:after="240"/>
              <w:jc w:val="both"/>
              <w:rPr/>
            </w:pPr>
            <w:r>
              <w:rPr>
                <w:rFonts w:ascii="Times New Roman;serif" w:hAnsi="Times New Roman;serif"/>
                <w:b w:val="false"/>
                <w:color w:val="000000"/>
                <w:sz w:val="20"/>
              </w:rPr>
              <w:t>Except as provided below, 60% of the Target number of RSUs shall vest on the first anniversary of the Vesting Commencement Date and 20% of the Target number of RSUs shall vest on each of the second and third anniversaries of the Vesting Commencement Date (each such anniversary date, a “</w:t>
            </w:r>
            <w:r>
              <w:rPr>
                <w:rFonts w:ascii="Times New Roman;serif" w:hAnsi="Times New Roman;serif"/>
                <w:b w:val="false"/>
                <w:color w:val="000000"/>
                <w:sz w:val="20"/>
                <w:u w:val="single"/>
              </w:rPr>
              <w:t>Vesting Date</w:t>
            </w:r>
            <w:r>
              <w:rPr>
                <w:color w:val="000000"/>
              </w:rPr>
              <w:t>”</w:t>
            </w:r>
            <w:r>
              <w:rPr>
                <w:rFonts w:ascii="Times New Roman;serif" w:hAnsi="Times New Roman;serif"/>
                <w:b w:val="false"/>
                <w:color w:val="000000"/>
                <w:sz w:val="20"/>
              </w:rPr>
              <w:t>), in each case (i) as modified by achievement of the performance modifier (the “</w:t>
            </w:r>
            <w:r>
              <w:rPr>
                <w:rFonts w:ascii="Times New Roman;serif" w:hAnsi="Times New Roman;serif"/>
                <w:b w:val="false"/>
                <w:color w:val="000000"/>
                <w:sz w:val="20"/>
                <w:u w:val="single"/>
              </w:rPr>
              <w:t>Performance Modifier</w:t>
            </w:r>
            <w:r>
              <w:rPr>
                <w:color w:val="000000"/>
              </w:rPr>
              <w:t>”</w:t>
            </w:r>
            <w:r>
              <w:rPr>
                <w:rFonts w:ascii="Times New Roman;serif" w:hAnsi="Times New Roman;serif"/>
                <w:b w:val="false"/>
                <w:color w:val="000000"/>
                <w:sz w:val="20"/>
              </w:rPr>
              <w:t>) as set forth in the Performance Memo, and (ii) subject to the Participant’s Continuous Service Status not being terminated prior to each such Vesting Date, except as provided below.</w:t>
            </w:r>
          </w:p>
        </w:tc>
      </w:tr>
      <w:tr>
        <w:trPr/>
        <w:tc>
          <w:tcPr>
            <w:tcW w:w="2121"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color w:val="000000"/>
                <w:sz w:val="20"/>
              </w:rPr>
            </w:pPr>
            <w:r>
              <w:rPr>
                <w:rFonts w:ascii="Times New Roman;serif" w:hAnsi="Times New Roman;serif"/>
                <w:b/>
                <w:color w:val="000000"/>
                <w:sz w:val="20"/>
              </w:rPr>
              <w:t>6. Termination of Continuous Service Status:</w:t>
            </w:r>
          </w:p>
        </w:tc>
        <w:tc>
          <w:tcPr>
            <w:tcW w:w="8084"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20"/>
              </w:rPr>
            </w:pPr>
            <w:r>
              <w:rPr>
                <w:rFonts w:ascii="Times New Roman;serif" w:hAnsi="Times New Roman;serif"/>
                <w:b w:val="false"/>
                <w:color w:val="000000"/>
                <w:sz w:val="20"/>
              </w:rPr>
              <w:t>Subject to Sections 7 and 8 of this Grant Notice, in the event that Participant’s Continuous Service Status is terminated, the provisions of Section 7(b)(iv) of the Plan shall apply to the RSUs.</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75260"/>
                <wp:effectExtent l="0" t="0" r="0" b="0"/>
                <wp:wrapNone/>
                <wp:docPr id="138" name="Frame1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506"/>
        <w:gridCol w:w="445"/>
        <w:gridCol w:w="448"/>
        <w:gridCol w:w="2579"/>
        <w:gridCol w:w="2579"/>
        <w:gridCol w:w="3648"/>
      </w:tblGrid>
      <w:tr>
        <w:trPr/>
        <w:tc>
          <w:tcPr>
            <w:tcW w:w="506"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2579" w:type="dxa"/>
            <w:tcBorders/>
            <w:vAlign w:val="center"/>
          </w:tcPr>
          <w:p>
            <w:pPr>
              <w:pStyle w:val="TableContents"/>
              <w:bidi w:val="0"/>
              <w:spacing w:before="0" w:after="283"/>
              <w:jc w:val="left"/>
              <w:rPr>
                <w:sz w:val="4"/>
                <w:szCs w:val="4"/>
              </w:rPr>
            </w:pPr>
            <w:r>
              <w:rPr>
                <w:sz w:val="4"/>
                <w:szCs w:val="4"/>
              </w:rPr>
            </w:r>
          </w:p>
        </w:tc>
        <w:tc>
          <w:tcPr>
            <w:tcW w:w="2579" w:type="dxa"/>
            <w:tcBorders/>
            <w:vAlign w:val="center"/>
          </w:tcPr>
          <w:p>
            <w:pPr>
              <w:pStyle w:val="TableContents"/>
              <w:bidi w:val="0"/>
              <w:spacing w:before="0" w:after="283"/>
              <w:jc w:val="left"/>
              <w:rPr>
                <w:sz w:val="4"/>
                <w:szCs w:val="4"/>
              </w:rPr>
            </w:pPr>
            <w:r>
              <w:rPr>
                <w:sz w:val="4"/>
                <w:szCs w:val="4"/>
              </w:rPr>
            </w:r>
          </w:p>
        </w:tc>
        <w:tc>
          <w:tcPr>
            <w:tcW w:w="3648" w:type="dxa"/>
            <w:tcBorders/>
            <w:vAlign w:val="center"/>
          </w:tcPr>
          <w:p>
            <w:pPr>
              <w:pStyle w:val="TableContents"/>
              <w:bidi w:val="0"/>
              <w:spacing w:before="0" w:after="283"/>
              <w:jc w:val="left"/>
              <w:rPr>
                <w:sz w:val="4"/>
                <w:szCs w:val="4"/>
              </w:rPr>
            </w:pPr>
            <w:r>
              <w:rPr>
                <w:sz w:val="4"/>
                <w:szCs w:val="4"/>
              </w:rPr>
            </w:r>
          </w:p>
        </w:tc>
      </w:tr>
      <w:tr>
        <w:trPr/>
        <w:tc>
          <w:tcPr>
            <w:tcW w:w="1399"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color w:val="000000"/>
                <w:sz w:val="20"/>
              </w:rPr>
            </w:pPr>
            <w:r>
              <w:rPr>
                <w:rFonts w:ascii="Times New Roman;serif" w:hAnsi="Times New Roman;serif"/>
                <w:b/>
                <w:color w:val="000000"/>
                <w:sz w:val="20"/>
              </w:rPr>
              <w:t>7. Alternative Vesting Schedule:</w:t>
            </w:r>
          </w:p>
        </w:tc>
        <w:tc>
          <w:tcPr>
            <w:tcW w:w="8806" w:type="dxa"/>
            <w:gridSpan w:val="3"/>
            <w:tcBorders/>
            <w:tcMar>
              <w:top w:w="0" w:type="dxa"/>
              <w:left w:w="0" w:type="dxa"/>
              <w:bottom w:w="0" w:type="dxa"/>
              <w:right w:w="0" w:type="dxa"/>
            </w:tcMar>
            <w:vAlign w:val="center"/>
          </w:tcPr>
          <w:p>
            <w:pPr>
              <w:pStyle w:val="TableContents"/>
              <w:bidi w:val="0"/>
              <w:spacing w:lineRule="auto" w:line="288" w:before="0" w:after="240"/>
              <w:ind w:left="0" w:right="0" w:hanging="346"/>
              <w:jc w:val="both"/>
              <w:rPr/>
            </w:pPr>
            <w:r>
              <w:rPr>
                <w:rFonts w:ascii="Times New Roman;serif" w:hAnsi="Times New Roman;serif"/>
                <w:b w:val="false"/>
                <w:color w:val="000000"/>
                <w:sz w:val="20"/>
              </w:rPr>
              <w:t>(a)</w:t>
            </w:r>
            <w:r>
              <w:rPr>
                <w:rFonts w:ascii="Times New Roman;serif" w:hAnsi="Times New Roman;serif"/>
                <w:b w:val="false"/>
                <w:i/>
                <w:color w:val="000000"/>
                <w:sz w:val="20"/>
              </w:rPr>
              <w:t>Death and Disability</w:t>
            </w:r>
            <w:r>
              <w:rPr>
                <w:rFonts w:ascii="Times New Roman;serif" w:hAnsi="Times New Roman;serif"/>
                <w:b w:val="false"/>
                <w:color w:val="000000"/>
                <w:sz w:val="20"/>
              </w:rPr>
              <w:t xml:space="preserve">. If Participant’s Continuous Service Status is terminated by reason of Participant’s death or Disability before the final Vesting Date, all outstanding unvested RSUs that would have vested had Participant maintained Continuous Service Status during the 2-year period immediately following the date of such termination, determined with application of the Performance Modifier as set forth in the Performance Memo, will vest as of the date of such termination. </w:t>
            </w:r>
          </w:p>
          <w:p>
            <w:pPr>
              <w:pStyle w:val="TableContents"/>
              <w:bidi w:val="0"/>
              <w:spacing w:lineRule="auto" w:line="288" w:before="0" w:after="240"/>
              <w:ind w:left="0" w:right="0" w:hanging="346"/>
              <w:jc w:val="both"/>
              <w:rPr/>
            </w:pPr>
            <w:r>
              <w:rPr>
                <w:rFonts w:ascii="Times New Roman;serif" w:hAnsi="Times New Roman;serif"/>
                <w:b w:val="false"/>
                <w:color w:val="000000"/>
                <w:sz w:val="20"/>
              </w:rPr>
              <w:t>(b)</w:t>
            </w:r>
            <w:r>
              <w:rPr>
                <w:rFonts w:ascii="Times New Roman;serif" w:hAnsi="Times New Roman;serif"/>
                <w:b w:val="false"/>
                <w:i/>
                <w:color w:val="000000"/>
                <w:sz w:val="20"/>
              </w:rPr>
              <w:t>Retirement</w:t>
            </w:r>
            <w:r>
              <w:rPr>
                <w:rFonts w:ascii="Times New Roman;serif" w:hAnsi="Times New Roman;serif"/>
                <w:b w:val="false"/>
                <w:color w:val="000000"/>
                <w:sz w:val="20"/>
              </w:rPr>
              <w:t xml:space="preserve">. If Participant’s Continuous Service Status is terminated by Participant after the first anniversary of the Date of Grant but before the final Vesting Date due to Participant’s Retirement, all outstanding unvested RSUs that would have vested had Participant maintained Continuous Service Status during the 2-year period immediately following the date of such termination, determined with application of the Performance Modifier as set forth in the Performance Memo, will vest as of the date of such termination. </w:t>
            </w:r>
          </w:p>
          <w:p>
            <w:pPr>
              <w:pStyle w:val="TableContents"/>
              <w:bidi w:val="0"/>
              <w:spacing w:lineRule="auto" w:line="288" w:before="0" w:after="240"/>
              <w:jc w:val="both"/>
              <w:rPr/>
            </w:pPr>
            <w:r>
              <w:rPr>
                <w:rFonts w:ascii="Times New Roman;serif" w:hAnsi="Times New Roman;serif"/>
                <w:b w:val="false"/>
                <w:color w:val="000000"/>
                <w:sz w:val="20"/>
              </w:rPr>
              <w:t>For purposes of this Grant Notice, “</w:t>
            </w:r>
            <w:r>
              <w:rPr>
                <w:rFonts w:ascii="Times New Roman;serif" w:hAnsi="Times New Roman;serif"/>
                <w:b w:val="false"/>
                <w:color w:val="000000"/>
                <w:sz w:val="20"/>
                <w:u w:val="single"/>
              </w:rPr>
              <w:t>Retirement</w:t>
            </w:r>
            <w:r>
              <w:rPr>
                <w:color w:val="000000"/>
              </w:rPr>
              <w:t xml:space="preserve">” </w:t>
            </w:r>
            <w:r>
              <w:rPr>
                <w:rFonts w:ascii="Times New Roman;serif" w:hAnsi="Times New Roman;serif"/>
                <w:b w:val="false"/>
                <w:color w:val="000000"/>
                <w:sz w:val="20"/>
              </w:rPr>
              <w:t>means termination of Participant’s Continuous Service Status after the date on which Participant attains age 55 with at least 10 years of Continuous Service Status with the Company.</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351155"/>
                <wp:effectExtent l="0" t="0" r="0" b="0"/>
                <wp:wrapNone/>
                <wp:docPr id="139" name="Frame137"/>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42"/>
        <w:gridCol w:w="300"/>
        <w:gridCol w:w="302"/>
        <w:gridCol w:w="2711"/>
        <w:gridCol w:w="2711"/>
        <w:gridCol w:w="3839"/>
      </w:tblGrid>
      <w:tr>
        <w:trPr/>
        <w:tc>
          <w:tcPr>
            <w:tcW w:w="34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2711" w:type="dxa"/>
            <w:tcBorders/>
            <w:vAlign w:val="center"/>
          </w:tcPr>
          <w:p>
            <w:pPr>
              <w:pStyle w:val="TableContents"/>
              <w:bidi w:val="0"/>
              <w:spacing w:before="0" w:after="283"/>
              <w:jc w:val="left"/>
              <w:rPr>
                <w:sz w:val="4"/>
                <w:szCs w:val="4"/>
              </w:rPr>
            </w:pPr>
            <w:r>
              <w:rPr>
                <w:sz w:val="4"/>
                <w:szCs w:val="4"/>
              </w:rPr>
            </w:r>
          </w:p>
        </w:tc>
        <w:tc>
          <w:tcPr>
            <w:tcW w:w="2711" w:type="dxa"/>
            <w:tcBorders/>
            <w:vAlign w:val="center"/>
          </w:tcPr>
          <w:p>
            <w:pPr>
              <w:pStyle w:val="TableContents"/>
              <w:bidi w:val="0"/>
              <w:spacing w:before="0" w:after="283"/>
              <w:jc w:val="left"/>
              <w:rPr>
                <w:sz w:val="4"/>
                <w:szCs w:val="4"/>
              </w:rPr>
            </w:pPr>
            <w:r>
              <w:rPr>
                <w:sz w:val="4"/>
                <w:szCs w:val="4"/>
              </w:rPr>
            </w:r>
          </w:p>
        </w:tc>
        <w:tc>
          <w:tcPr>
            <w:tcW w:w="3839" w:type="dxa"/>
            <w:tcBorders/>
            <w:vAlign w:val="center"/>
          </w:tcPr>
          <w:p>
            <w:pPr>
              <w:pStyle w:val="TableContents"/>
              <w:bidi w:val="0"/>
              <w:spacing w:before="0" w:after="283"/>
              <w:jc w:val="left"/>
              <w:rPr>
                <w:sz w:val="4"/>
                <w:szCs w:val="4"/>
              </w:rPr>
            </w:pPr>
            <w:r>
              <w:rPr>
                <w:sz w:val="4"/>
                <w:szCs w:val="4"/>
              </w:rPr>
            </w:r>
          </w:p>
        </w:tc>
      </w:tr>
      <w:tr>
        <w:trPr/>
        <w:tc>
          <w:tcPr>
            <w:tcW w:w="944"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color w:val="000000"/>
                <w:sz w:val="20"/>
              </w:rPr>
            </w:pPr>
            <w:r>
              <w:rPr>
                <w:rFonts w:ascii="Times New Roman;serif" w:hAnsi="Times New Roman;serif"/>
                <w:b/>
                <w:color w:val="000000"/>
                <w:sz w:val="20"/>
              </w:rPr>
              <w:t>8. Change in Control:</w:t>
            </w:r>
          </w:p>
        </w:tc>
        <w:tc>
          <w:tcPr>
            <w:tcW w:w="9261" w:type="dxa"/>
            <w:gridSpan w:val="3"/>
            <w:tcBorders/>
            <w:tcMar>
              <w:top w:w="0" w:type="dxa"/>
              <w:left w:w="0" w:type="dxa"/>
              <w:bottom w:w="0" w:type="dxa"/>
              <w:right w:w="0" w:type="dxa"/>
            </w:tcMar>
            <w:vAlign w:val="center"/>
          </w:tcPr>
          <w:p>
            <w:pPr>
              <w:pStyle w:val="TableContents"/>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If, at any time before the final Vesting Date, and while the Participant maintains their Continuous Service Status, a Change in Control occurs and the unvested portion of the RSUs is not assumed or substituted by Acquiror, or continued by the Company, in connection with a Change in Control, such unvested portion of the RSUs determined with application of the Performance Modifier as set forth in the Performance Memo, shall vest as of the closing of such Change in Control.</w:t>
            </w:r>
          </w:p>
          <w:p>
            <w:pPr>
              <w:pStyle w:val="TableContents"/>
              <w:bidi w:val="0"/>
              <w:spacing w:lineRule="auto" w:line="288" w:before="0" w:after="240"/>
              <w:jc w:val="both"/>
              <w:rPr/>
            </w:pPr>
            <w:r>
              <w:rPr>
                <w:rFonts w:ascii="Times New Roman;serif" w:hAnsi="Times New Roman;serif"/>
                <w:b w:val="false"/>
                <w:color w:val="000000"/>
                <w:sz w:val="20"/>
              </w:rPr>
              <w:t xml:space="preserve">In the event that in connection with a Change in Control, the Acquiror does assume or substitute, or the Company continues, the unvested portion of the RSUs, the Performance Modifier shall be treated as set forth in the Performance Memo for Vesting Dates following the Change in Control, and if Participant’s Continuous Service Status is terminated by such Acquiror or the Company without Cause </w:t>
            </w:r>
            <w:r>
              <w:rPr>
                <w:rFonts w:ascii="Times New Roman;serif" w:hAnsi="Times New Roman;serif"/>
                <w:b/>
                <w:color w:val="000000"/>
                <w:sz w:val="20"/>
              </w:rPr>
              <w:t>[or by Participant for Good Reason, in each case,]</w:t>
            </w:r>
            <w:r>
              <w:rPr>
                <w:color w:val="000000"/>
              </w:rPr>
              <w:t xml:space="preserve"> </w:t>
            </w:r>
            <w:r>
              <w:rPr>
                <w:rFonts w:ascii="Times New Roman;serif" w:hAnsi="Times New Roman;serif"/>
                <w:b w:val="false"/>
                <w:color w:val="000000"/>
                <w:sz w:val="20"/>
              </w:rPr>
              <w:t>within the 12-month period immediately following the Change in Control, the unvested portion of the RSUs, determined with application of the Performance Modifier as set forth in the Performance Memo, shall vest as of the date of Participant’s termination.</w:t>
            </w:r>
          </w:p>
          <w:p>
            <w:pPr>
              <w:pStyle w:val="TableContents"/>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 addition, if an Acquiror so assumes or substitutes, or the Company so continues, the unvested portion of the RSUs, notwithstanding any provision to the contrary, any outstanding RSUs which at the time of the Change in Control are not subject to a “substantial risk of forfeiture” (within the meaning of Section 409A of the Code) will be deemed to be vested at the time of such Change in Control and will be settled in accordance with Section 9 of this Grant Notice.</w:t>
            </w:r>
          </w:p>
          <w:p>
            <w:pPr>
              <w:pStyle w:val="TableContents"/>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[For the purposes of this Grant Notice:</w:t>
            </w:r>
          </w:p>
          <w:p>
            <w:pPr>
              <w:pStyle w:val="TableContents"/>
              <w:bidi w:val="0"/>
              <w:spacing w:lineRule="auto" w:line="288" w:before="0" w:after="240"/>
              <w:ind w:left="0" w:right="0" w:hanging="360"/>
              <w:jc w:val="both"/>
              <w:rPr/>
            </w:pPr>
            <w:r>
              <w:rPr>
                <w:rFonts w:ascii="Times New Roman;serif" w:hAnsi="Times New Roman;serif"/>
                <w:b/>
                <w:color w:val="000000"/>
                <w:sz w:val="20"/>
              </w:rPr>
              <w:t>(i)</w:t>
            </w:r>
            <w:r>
              <w:rPr>
                <w:color w:val="000000"/>
              </w:rPr>
              <w:t>“</w:t>
            </w:r>
            <w:r>
              <w:rPr>
                <w:rFonts w:ascii="Times New Roman;serif" w:hAnsi="Times New Roman;serif"/>
                <w:b/>
                <w:color w:val="000000"/>
                <w:sz w:val="20"/>
                <w:u w:val="single"/>
              </w:rPr>
              <w:t>Cause</w:t>
            </w:r>
            <w:r>
              <w:rPr>
                <w:color w:val="000000"/>
              </w:rPr>
              <w:t xml:space="preserve">” </w:t>
            </w:r>
            <w:r>
              <w:rPr>
                <w:rFonts w:ascii="Times New Roman;serif" w:hAnsi="Times New Roman;serif"/>
                <w:b/>
                <w:color w:val="000000"/>
                <w:sz w:val="20"/>
              </w:rPr>
              <w:t>has the meaning in the Senior Management Agreement entered into between Participant and the Company upon Participant being hired (the “</w:t>
            </w:r>
            <w:r>
              <w:rPr>
                <w:rFonts w:ascii="Times New Roman;serif" w:hAnsi="Times New Roman;serif"/>
                <w:b/>
                <w:color w:val="000000"/>
                <w:sz w:val="20"/>
                <w:u w:val="single"/>
              </w:rPr>
              <w:t>Senior Management Agreement</w:t>
            </w:r>
            <w:r>
              <w:rPr>
                <w:color w:val="000000"/>
              </w:rPr>
              <w:t>”</w:t>
            </w:r>
            <w:r>
              <w:rPr>
                <w:rFonts w:ascii="Times New Roman;serif" w:hAnsi="Times New Roman;serif"/>
                <w:b/>
                <w:color w:val="000000"/>
                <w:sz w:val="20"/>
              </w:rPr>
              <w:t>).</w:t>
            </w:r>
          </w:p>
          <w:p>
            <w:pPr>
              <w:pStyle w:val="TableContents"/>
              <w:bidi w:val="0"/>
              <w:spacing w:lineRule="auto" w:line="288" w:before="0" w:after="240"/>
              <w:ind w:left="0" w:right="0" w:hanging="360"/>
              <w:jc w:val="both"/>
              <w:rPr/>
            </w:pPr>
            <w:r>
              <w:rPr>
                <w:rFonts w:ascii="Times New Roman;serif" w:hAnsi="Times New Roman;serif"/>
                <w:b/>
                <w:color w:val="000000"/>
                <w:sz w:val="20"/>
              </w:rPr>
              <w:t>(ii)</w:t>
            </w:r>
            <w:r>
              <w:rPr>
                <w:color w:val="000000"/>
              </w:rPr>
              <w:t>“</w:t>
            </w:r>
            <w:r>
              <w:rPr>
                <w:rFonts w:ascii="Times New Roman;serif" w:hAnsi="Times New Roman;serif"/>
                <w:b/>
                <w:color w:val="000000"/>
                <w:sz w:val="20"/>
                <w:u w:val="single"/>
              </w:rPr>
              <w:t>Good Reason</w:t>
            </w:r>
            <w:r>
              <w:rPr>
                <w:color w:val="000000"/>
              </w:rPr>
              <w:t xml:space="preserve">” </w:t>
            </w:r>
            <w:r>
              <w:rPr>
                <w:rFonts w:ascii="Times New Roman;serif" w:hAnsi="Times New Roman;serif"/>
                <w:b/>
                <w:color w:val="000000"/>
                <w:sz w:val="20"/>
              </w:rPr>
              <w:t>has the meaning in the Senior Management Agreement.]</w:t>
            </w:r>
            <w:r>
              <w:rPr>
                <w:rFonts w:ascii="Times New Roman;serif" w:hAnsi="Times New Roman;serif"/>
                <w:b/>
                <w:color w:val="000000"/>
                <w:sz w:val="13"/>
              </w:rPr>
              <w:t>1</w:t>
            </w:r>
          </w:p>
        </w:tc>
      </w:tr>
    </w:tbl>
    <w:p>
      <w:pPr>
        <w:pStyle w:val="TextBody"/>
        <w:bidi w:val="0"/>
        <w:spacing w:lineRule="auto" w:line="288" w:before="0" w:after="120"/>
        <w:jc w:val="left"/>
        <w:rPr/>
      </w:pPr>
      <w:r>
        <w:rPr>
          <w:rFonts w:ascii="Times New Roman;serif" w:hAnsi="Times New Roman;serif"/>
          <w:b/>
          <w:color w:val="000000"/>
          <w:sz w:val="13"/>
        </w:rPr>
        <w:t>1</w:t>
      </w:r>
      <w:r>
        <w:rPr>
          <w:color w:val="000000"/>
        </w:rPr>
        <w:t xml:space="preserve"> </w:t>
      </w:r>
      <w:r>
        <w:rPr>
          <w:rFonts w:ascii="Times New Roman;serif" w:hAnsi="Times New Roman;serif"/>
          <w:b/>
          <w:color w:val="000000"/>
          <w:sz w:val="20"/>
        </w:rPr>
        <w:t>Note: bold and bracketed language included in the form denotes language included in the Notice and Performance Memo for executives that are parties to a Senior Management Agreement with the Company.</w:t>
      </w:r>
    </w:p>
    <w:p>
      <w:pPr>
        <w:pStyle w:val="TextBody"/>
        <w:bidi w:val="0"/>
        <w:spacing w:before="0" w:after="0"/>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351155"/>
                <wp:effectExtent l="0" t="0" r="0" b="0"/>
                <wp:wrapNone/>
                <wp:docPr id="140" name="Frame138"/>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70"/>
        <w:gridCol w:w="325"/>
        <w:gridCol w:w="327"/>
        <w:gridCol w:w="2686"/>
        <w:gridCol w:w="2686"/>
        <w:gridCol w:w="3811"/>
      </w:tblGrid>
      <w:tr>
        <w:trPr/>
        <w:tc>
          <w:tcPr>
            <w:tcW w:w="370"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2686" w:type="dxa"/>
            <w:tcBorders/>
            <w:vAlign w:val="center"/>
          </w:tcPr>
          <w:p>
            <w:pPr>
              <w:pStyle w:val="TableContents"/>
              <w:bidi w:val="0"/>
              <w:spacing w:before="0" w:after="283"/>
              <w:jc w:val="left"/>
              <w:rPr>
                <w:sz w:val="4"/>
                <w:szCs w:val="4"/>
              </w:rPr>
            </w:pPr>
            <w:r>
              <w:rPr>
                <w:sz w:val="4"/>
                <w:szCs w:val="4"/>
              </w:rPr>
            </w:r>
          </w:p>
        </w:tc>
        <w:tc>
          <w:tcPr>
            <w:tcW w:w="2686" w:type="dxa"/>
            <w:tcBorders/>
            <w:vAlign w:val="center"/>
          </w:tcPr>
          <w:p>
            <w:pPr>
              <w:pStyle w:val="TableContents"/>
              <w:bidi w:val="0"/>
              <w:spacing w:before="0" w:after="283"/>
              <w:jc w:val="left"/>
              <w:rPr>
                <w:sz w:val="4"/>
                <w:szCs w:val="4"/>
              </w:rPr>
            </w:pPr>
            <w:r>
              <w:rPr>
                <w:sz w:val="4"/>
                <w:szCs w:val="4"/>
              </w:rPr>
            </w:r>
          </w:p>
        </w:tc>
        <w:tc>
          <w:tcPr>
            <w:tcW w:w="3811" w:type="dxa"/>
            <w:tcBorders/>
            <w:vAlign w:val="center"/>
          </w:tcPr>
          <w:p>
            <w:pPr>
              <w:pStyle w:val="TableContents"/>
              <w:bidi w:val="0"/>
              <w:spacing w:before="0" w:after="283"/>
              <w:jc w:val="left"/>
              <w:rPr>
                <w:sz w:val="4"/>
                <w:szCs w:val="4"/>
              </w:rPr>
            </w:pPr>
            <w:r>
              <w:rPr>
                <w:sz w:val="4"/>
                <w:szCs w:val="4"/>
              </w:rPr>
            </w:r>
          </w:p>
        </w:tc>
      </w:tr>
      <w:tr>
        <w:trPr/>
        <w:tc>
          <w:tcPr>
            <w:tcW w:w="1022"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color w:val="000000"/>
                <w:sz w:val="20"/>
              </w:rPr>
            </w:pPr>
            <w:r>
              <w:rPr>
                <w:rFonts w:ascii="Times New Roman;serif" w:hAnsi="Times New Roman;serif"/>
                <w:b/>
                <w:color w:val="000000"/>
                <w:sz w:val="20"/>
              </w:rPr>
              <w:t>9. Issuance Schedule:</w:t>
            </w:r>
          </w:p>
        </w:tc>
        <w:tc>
          <w:tcPr>
            <w:tcW w:w="9183" w:type="dxa"/>
            <w:gridSpan w:val="3"/>
            <w:tcBorders/>
            <w:tcMar>
              <w:top w:w="0" w:type="dxa"/>
              <w:left w:w="0" w:type="dxa"/>
              <w:bottom w:w="0" w:type="dxa"/>
              <w:right w:w="0" w:type="dxa"/>
            </w:tcMar>
            <w:vAlign w:val="center"/>
          </w:tcPr>
          <w:p>
            <w:pPr>
              <w:pStyle w:val="TableContents"/>
              <w:bidi w:val="0"/>
              <w:spacing w:lineRule="auto" w:line="288" w:before="0" w:after="240"/>
              <w:ind w:left="0" w:right="0" w:hanging="427"/>
              <w:jc w:val="both"/>
              <w:rPr/>
            </w:pPr>
            <w:r>
              <w:rPr>
                <w:rFonts w:ascii="Times New Roman;serif" w:hAnsi="Times New Roman;serif"/>
                <w:b w:val="false"/>
                <w:color w:val="000000"/>
                <w:sz w:val="20"/>
              </w:rPr>
              <w:t xml:space="preserve">(a) </w:t>
            </w:r>
            <w:r>
              <w:rPr>
                <w:rFonts w:ascii="Times New Roman;serif" w:hAnsi="Times New Roman;serif"/>
                <w:b w:val="false"/>
                <w:i/>
                <w:color w:val="000000"/>
                <w:sz w:val="20"/>
              </w:rPr>
              <w:t>General.</w:t>
            </w:r>
            <w:r>
              <w:rPr>
                <w:color w:val="000000"/>
              </w:rPr>
              <w:t xml:space="preserve"> </w:t>
            </w:r>
            <w:r>
              <w:rPr>
                <w:rFonts w:ascii="Times New Roman;serif" w:hAnsi="Times New Roman;serif"/>
                <w:b w:val="false"/>
                <w:color w:val="000000"/>
                <w:sz w:val="20"/>
              </w:rPr>
              <w:t>Subject to Sections 6 and 9(b) of this Grant Notice and Section 2 of the RSU Agreement, following each Vesting Date the Committee will certify the Performance Modifier and the total number of RSUs vested on the applicable Vesting Date. The vested RSUs shall be settled in Shares within 30 days of the applicable Vesting Date.</w:t>
            </w:r>
          </w:p>
          <w:p>
            <w:pPr>
              <w:pStyle w:val="TableContents"/>
              <w:bidi w:val="0"/>
              <w:spacing w:lineRule="auto" w:line="288" w:before="0" w:after="240"/>
              <w:ind w:left="0" w:right="0" w:hanging="427"/>
              <w:jc w:val="both"/>
              <w:rPr/>
            </w:pPr>
            <w:r>
              <w:rPr>
                <w:rFonts w:ascii="Times New Roman;serif" w:hAnsi="Times New Roman;serif"/>
                <w:b w:val="false"/>
                <w:color w:val="000000"/>
                <w:sz w:val="20"/>
              </w:rPr>
              <w:t xml:space="preserve">(b) </w:t>
            </w:r>
            <w:r>
              <w:rPr>
                <w:rFonts w:ascii="Times New Roman;serif" w:hAnsi="Times New Roman;serif"/>
                <w:b w:val="false"/>
                <w:i/>
                <w:color w:val="000000"/>
                <w:sz w:val="20"/>
              </w:rPr>
              <w:t>Other Settlement Dates</w:t>
            </w:r>
            <w:r>
              <w:rPr>
                <w:rFonts w:ascii="Times New Roman;serif" w:hAnsi="Times New Roman;serif"/>
                <w:b w:val="false"/>
                <w:color w:val="000000"/>
                <w:sz w:val="20"/>
              </w:rPr>
              <w:t>. Notwithstanding Section 9(a), to the extent that the RSUs are vested on the dates set forth below, the vested RSUs shall be settled in Shares as follows:</w:t>
            </w:r>
          </w:p>
          <w:p>
            <w:pPr>
              <w:pStyle w:val="TableContents"/>
              <w:bidi w:val="0"/>
              <w:spacing w:lineRule="auto" w:line="288" w:before="0" w:after="240"/>
              <w:ind w:left="0" w:right="0" w:firstLine="360"/>
              <w:jc w:val="both"/>
              <w:rPr/>
            </w:pPr>
            <w:r>
              <w:rPr>
                <w:rFonts w:ascii="Times New Roman;serif" w:hAnsi="Times New Roman;serif"/>
                <w:b w:val="false"/>
                <w:color w:val="000000"/>
                <w:sz w:val="20"/>
              </w:rPr>
              <w:t>(i)    </w:t>
            </w:r>
            <w:r>
              <w:rPr>
                <w:rFonts w:ascii="Times New Roman;serif" w:hAnsi="Times New Roman;serif"/>
                <w:b w:val="false"/>
                <w:i/>
                <w:color w:val="000000"/>
                <w:sz w:val="20"/>
              </w:rPr>
              <w:t>Termination of Continuous Service Status or Death.</w:t>
            </w:r>
            <w:r>
              <w:rPr>
                <w:color w:val="000000"/>
              </w:rPr>
              <w:t xml:space="preserve"> </w:t>
            </w:r>
            <w:r>
              <w:rPr>
                <w:rFonts w:ascii="Times New Roman;serif" w:hAnsi="Times New Roman;serif"/>
                <w:b w:val="false"/>
                <w:color w:val="000000"/>
                <w:sz w:val="20"/>
              </w:rPr>
              <w:t>Within 30 days following the date of Participant’s termination of Continuous Service Status with the Company or death, any RSUs vested as of such termination or death shall be settled in Shares; provided, however, that if such termination of Continuous Service Status would not qualify as a “separation from service” as defined under Section 409A of the Code, and where Section 409A of the Code applies to such distribution, such vested RSUs shall be settled on the date that would have otherwise applied pursuant to Sections 9(a) or 9(b) of this Grant Notice.</w:t>
            </w:r>
          </w:p>
          <w:p>
            <w:pPr>
              <w:pStyle w:val="TableContents"/>
              <w:bidi w:val="0"/>
              <w:spacing w:lineRule="auto" w:line="288" w:before="0" w:after="240"/>
              <w:ind w:left="0" w:right="0" w:firstLine="360"/>
              <w:jc w:val="both"/>
              <w:rPr/>
            </w:pPr>
            <w:r>
              <w:rPr>
                <w:rFonts w:ascii="Times New Roman;serif" w:hAnsi="Times New Roman;serif"/>
                <w:b w:val="false"/>
                <w:color w:val="000000"/>
                <w:sz w:val="20"/>
              </w:rPr>
              <w:t>(ii)    </w:t>
            </w:r>
            <w:r>
              <w:rPr>
                <w:rFonts w:ascii="Times New Roman;serif" w:hAnsi="Times New Roman;serif"/>
                <w:b w:val="false"/>
                <w:i/>
                <w:color w:val="000000"/>
                <w:sz w:val="20"/>
              </w:rPr>
              <w:t>Change in Control.</w:t>
            </w:r>
            <w:r>
              <w:rPr>
                <w:color w:val="000000"/>
              </w:rPr>
              <w:t xml:space="preserve"> </w:t>
            </w:r>
            <w:r>
              <w:rPr>
                <w:rFonts w:ascii="Times New Roman;serif" w:hAnsi="Times New Roman;serif"/>
                <w:b w:val="false"/>
                <w:color w:val="000000"/>
                <w:sz w:val="20"/>
              </w:rPr>
              <w:t xml:space="preserve">Within 30 days following a Change in Control, any RSUs vested as of such Change in Control shall be settled in Shares; provided, however, that if such Change in Control would not qualify as a permissible date of distribution under Section 409A(a)(2)(A) of the Code, and the regulations thereunder, and where Section 409A of the Code applies to such distribution, such vested RSUs shall be settled on the date that would have otherwise applied pursuant to Sections 9(a) or 9(b) of this Grant Notice. </w:t>
            </w:r>
          </w:p>
          <w:p>
            <w:pPr>
              <w:pStyle w:val="TableContents"/>
              <w:bidi w:val="0"/>
              <w:spacing w:lineRule="auto" w:line="288" w:before="0" w:after="240"/>
              <w:ind w:left="0" w:right="0" w:hanging="337"/>
              <w:jc w:val="both"/>
              <w:rPr/>
            </w:pPr>
            <w:r>
              <w:rPr>
                <w:rFonts w:ascii="Times New Roman;serif" w:hAnsi="Times New Roman;serif"/>
                <w:b w:val="false"/>
                <w:color w:val="000000"/>
                <w:sz w:val="20"/>
              </w:rPr>
              <w:t xml:space="preserve">(c) </w:t>
            </w:r>
            <w:r>
              <w:rPr>
                <w:rFonts w:ascii="Times New Roman;serif" w:hAnsi="Times New Roman;serif"/>
                <w:b w:val="false"/>
                <w:i/>
                <w:color w:val="000000"/>
                <w:sz w:val="20"/>
              </w:rPr>
              <w:t>Accelerated Payment.</w:t>
            </w:r>
            <w:r>
              <w:rPr>
                <w:color w:val="000000"/>
              </w:rPr>
              <w:t xml:space="preserve"> </w:t>
            </w:r>
            <w:r>
              <w:rPr>
                <w:rFonts w:ascii="Times New Roman;serif" w:hAnsi="Times New Roman;serif"/>
                <w:b w:val="false"/>
                <w:color w:val="000000"/>
                <w:sz w:val="20"/>
              </w:rPr>
              <w:t>Notwithstanding anything stated in this Grant Notice, in the RSU Agreement, the Plan or any other agreement applicable to the RSUs, the Company shall have the discretion to settle the RSUs prior to the time set forth herein to the extent permitted by Treasury Regulation Section 1.409A-3(j)(4).</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351155"/>
                <wp:effectExtent l="0" t="0" r="0" b="0"/>
                <wp:wrapNone/>
                <wp:docPr id="141" name="Frame139"/>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515"/>
        <w:gridCol w:w="452"/>
        <w:gridCol w:w="454"/>
        <w:gridCol w:w="2572"/>
        <w:gridCol w:w="2572"/>
        <w:gridCol w:w="3640"/>
      </w:tblGrid>
      <w:tr>
        <w:trPr/>
        <w:tc>
          <w:tcPr>
            <w:tcW w:w="515"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2572" w:type="dxa"/>
            <w:tcBorders/>
            <w:vAlign w:val="center"/>
          </w:tcPr>
          <w:p>
            <w:pPr>
              <w:pStyle w:val="TableContents"/>
              <w:bidi w:val="0"/>
              <w:spacing w:before="0" w:after="283"/>
              <w:jc w:val="left"/>
              <w:rPr>
                <w:sz w:val="4"/>
                <w:szCs w:val="4"/>
              </w:rPr>
            </w:pPr>
            <w:r>
              <w:rPr>
                <w:sz w:val="4"/>
                <w:szCs w:val="4"/>
              </w:rPr>
            </w:r>
          </w:p>
        </w:tc>
        <w:tc>
          <w:tcPr>
            <w:tcW w:w="2572" w:type="dxa"/>
            <w:tcBorders/>
            <w:vAlign w:val="center"/>
          </w:tcPr>
          <w:p>
            <w:pPr>
              <w:pStyle w:val="TableContents"/>
              <w:bidi w:val="0"/>
              <w:spacing w:before="0" w:after="283"/>
              <w:jc w:val="left"/>
              <w:rPr>
                <w:sz w:val="4"/>
                <w:szCs w:val="4"/>
              </w:rPr>
            </w:pPr>
            <w:r>
              <w:rPr>
                <w:sz w:val="4"/>
                <w:szCs w:val="4"/>
              </w:rPr>
            </w:r>
          </w:p>
        </w:tc>
        <w:tc>
          <w:tcPr>
            <w:tcW w:w="3640" w:type="dxa"/>
            <w:tcBorders/>
            <w:vAlign w:val="center"/>
          </w:tcPr>
          <w:p>
            <w:pPr>
              <w:pStyle w:val="TableContents"/>
              <w:bidi w:val="0"/>
              <w:spacing w:before="0" w:after="283"/>
              <w:jc w:val="left"/>
              <w:rPr>
                <w:sz w:val="4"/>
                <w:szCs w:val="4"/>
              </w:rPr>
            </w:pPr>
            <w:r>
              <w:rPr>
                <w:sz w:val="4"/>
                <w:szCs w:val="4"/>
              </w:rPr>
            </w:r>
          </w:p>
        </w:tc>
      </w:tr>
      <w:tr>
        <w:trPr/>
        <w:tc>
          <w:tcPr>
            <w:tcW w:w="1421"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color w:val="000000"/>
                <w:sz w:val="20"/>
              </w:rPr>
            </w:pPr>
            <w:r>
              <w:rPr>
                <w:rFonts w:ascii="Times New Roman;serif" w:hAnsi="Times New Roman;serif"/>
                <w:b/>
                <w:color w:val="000000"/>
                <w:sz w:val="20"/>
              </w:rPr>
              <w:t>10. Tax Withholding Treatment:</w:t>
            </w:r>
          </w:p>
        </w:tc>
        <w:tc>
          <w:tcPr>
            <w:tcW w:w="8784" w:type="dxa"/>
            <w:gridSpan w:val="3"/>
            <w:tcBorders/>
            <w:tcMar>
              <w:top w:w="0" w:type="dxa"/>
              <w:left w:w="0" w:type="dxa"/>
              <w:bottom w:w="0" w:type="dxa"/>
              <w:right w:w="0" w:type="dxa"/>
            </w:tcMar>
            <w:vAlign w:val="center"/>
          </w:tcPr>
          <w:p>
            <w:pPr>
              <w:pStyle w:val="TableContents"/>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As a condition to acceptance of this award of RSUs, to the greatest extent permitted under the Plan and Applicable Laws, and absent any contrary determination by the Committee, any Tax Withholding Obligations will be satisfied by the Company withholding a number of the Shares issuable upon settlement determined in accordance with Section 3 of the RSU Agreement and making payments from its own funds to the appropriate taxing authorities in an amount equal to the Tax Withholding Obligations. Any Shares so withheld shall be credited against such withholding requirements at the fair market value of such shares on the date of such withholding.</w:t>
            </w:r>
          </w:p>
          <w:p>
            <w:pPr>
              <w:pStyle w:val="TableContents"/>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Notwithstanding the forgoing, if the Participant is not a Company officer or Board member that is subject to Section 16 of the Exchange Act, the Company may adopt (in its discretion, without further Committee approval) such other treatment or program for such Tax Withholding Obligations, including requiring cash payments or other forms of payment as permitted under Section 9 of the Plan (limited to maximum permitted amounts), all as consistent with Section 26 of the Plan.</w:t>
            </w:r>
          </w:p>
          <w:p>
            <w:pPr>
              <w:pStyle w:val="TableContents"/>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Company may also enter into any other arrangement with the Participant to satisfy Participant’s Tax Withholding Obligations in accordance with Section 3 of the RSU Agreement.</w:t>
            </w:r>
          </w:p>
        </w:tc>
      </w:tr>
    </w:tbl>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By signing this Grant Notice or otherwise accepting this grant, Participant hereby agrees to all of the following:</w:t>
      </w:r>
    </w:p>
    <w:p>
      <w:pPr>
        <w:pStyle w:val="TextBody"/>
        <w:bidi w:val="0"/>
        <w:spacing w:lineRule="auto" w:line="240" w:before="0" w:after="240"/>
        <w:ind w:left="0" w:right="0" w:hanging="360"/>
        <w:jc w:val="both"/>
        <w:rPr/>
      </w:pPr>
      <w:r>
        <w:rPr>
          <w:color w:val="000000"/>
        </w:rPr>
        <w:t>•</w:t>
      </w:r>
      <w:r>
        <w:rPr>
          <w:rFonts w:ascii="Times New Roman;serif" w:hAnsi="Times New Roman;serif"/>
          <w:b w:val="false"/>
          <w:color w:val="000000"/>
          <w:sz w:val="20"/>
        </w:rPr>
        <w:t>This award of RSUs is granted under and governed by the terms and conditions of this Grant Notice, the Plan, the RSU Agreement (including any relevant Country-Specific Addendum), the Performance Memo, and any ancillary documents.</w:t>
      </w:r>
    </w:p>
    <w:p>
      <w:pPr>
        <w:pStyle w:val="TextBody"/>
        <w:bidi w:val="0"/>
        <w:spacing w:lineRule="auto" w:line="240" w:before="0" w:after="240"/>
        <w:ind w:left="0" w:right="0" w:hanging="360"/>
        <w:jc w:val="both"/>
        <w:rPr/>
      </w:pPr>
      <w:r>
        <w:rPr>
          <w:color w:val="000000"/>
        </w:rPr>
        <w:t>•</w:t>
      </w:r>
      <w:r>
        <w:rPr>
          <w:rFonts w:ascii="Times New Roman;serif" w:hAnsi="Times New Roman;serif"/>
          <w:b w:val="false"/>
          <w:color w:val="000000"/>
          <w:sz w:val="20"/>
        </w:rPr>
        <w:t>Participant acknowledges and agrees that Participant will incur and is responsible for satisfaction of the Tax Withholding Obligations in connection with this award of RSUs and that, unless otherwise directed by the Committee, the Company and/or the Employer will mandate arrangements with the Participant to satisfy such Tax Withholding Obligations in accordance with Section 3 of the RSU Agreement, including, but not limited to, the arrangements described herein.</w:t>
      </w:r>
    </w:p>
    <w:p>
      <w:pPr>
        <w:pStyle w:val="TextBody"/>
        <w:bidi w:val="0"/>
        <w:spacing w:lineRule="auto" w:line="240" w:before="0" w:after="240"/>
        <w:ind w:left="0" w:right="0" w:hanging="360"/>
        <w:jc w:val="both"/>
        <w:rPr/>
      </w:pPr>
      <w:r>
        <w:rPr>
          <w:color w:val="000000"/>
        </w:rPr>
        <w:t>•</w:t>
      </w:r>
      <w:r>
        <w:rPr>
          <w:rFonts w:ascii="Times New Roman;serif" w:hAnsi="Times New Roman;serif"/>
          <w:b w:val="false"/>
          <w:color w:val="000000"/>
          <w:sz w:val="20"/>
        </w:rPr>
        <w:t>Participant acknowledges and agrees that Participant has reviewed the Plan, the Performance Memo and the RSU Agreement in their entirety, has had an opportunity to obtain the advice of counsel prior to accepting the RSUs, and fully understands all provisions of the Plan, the Performance Memo, this Grant Notice and the RSU Agreement.</w:t>
      </w:r>
    </w:p>
    <w:p>
      <w:pPr>
        <w:pStyle w:val="TextBody"/>
        <w:bidi w:val="0"/>
        <w:spacing w:lineRule="auto" w:line="240" w:before="0" w:after="240"/>
        <w:ind w:left="0" w:right="0" w:hanging="360"/>
        <w:jc w:val="both"/>
        <w:rPr/>
      </w:pPr>
      <w:r>
        <w:rPr>
          <w:color w:val="000000"/>
        </w:rPr>
        <w:t>•</w:t>
      </w:r>
      <w:r>
        <w:rPr>
          <w:rFonts w:ascii="Times New Roman;serif" w:hAnsi="Times New Roman;serif"/>
          <w:b w:val="false"/>
          <w:color w:val="000000"/>
          <w:sz w:val="20"/>
        </w:rPr>
        <w:t>Participant acknowledges and agrees that Participant has read the Company’s Insider Trading Policy, and agrees to comply with such policy, as it may be amended from time to time.</w:t>
      </w:r>
    </w:p>
    <w:p>
      <w:pPr>
        <w:pStyle w:val="TextBody"/>
        <w:bidi w:val="0"/>
        <w:spacing w:lineRule="auto" w:line="240" w:before="0" w:after="240"/>
        <w:ind w:left="0" w:right="0" w:hanging="360"/>
        <w:jc w:val="both"/>
        <w:rPr/>
      </w:pPr>
      <w:r>
        <w:rPr>
          <w:color w:val="000000"/>
        </w:rPr>
        <w:t>•</w:t>
      </w:r>
      <w:r>
        <w:rPr>
          <w:rFonts w:ascii="Times New Roman;serif" w:hAnsi="Times New Roman;serif"/>
          <w:b w:val="false"/>
          <w:color w:val="000000"/>
          <w:sz w:val="20"/>
        </w:rPr>
        <w:t>Participant agrees to accept as binding, conclusive and final all decisions or interpretations of the Administrator upon any questions relating to the Plan, the Performance Memo and RSU Agreement.</w:t>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351155"/>
                <wp:effectExtent l="0" t="0" r="0" b="0"/>
                <wp:wrapNone/>
                <wp:docPr id="142" name="Frame140"/>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p>
                      <w:pPr>
                        <w:pStyle w:val="TextBody"/>
                        <w:bidi w:val="0"/>
                        <w:spacing w:before="0" w:after="0"/>
                        <w:jc w:val="left"/>
                        <w:rPr/>
                      </w:pPr>
                      <w:r>
                        <w:rPr/>
                      </w:r>
                    </w:p>
                  </w:txbxContent>
                </v:textbox>
                <w10:wrap type="none"/>
              </v:rect>
            </w:pict>
          </mc:Fallback>
        </mc:AlternateContent>
      </w:r>
    </w:p>
    <w:p>
      <w:pPr>
        <w:pStyle w:val="TextBody"/>
        <w:bidi w:val="0"/>
        <w:spacing w:before="0" w:after="240"/>
        <w:jc w:val="left"/>
        <w:rPr/>
      </w:pPr>
      <w:r>
        <w:rPr/>
      </w:r>
    </w:p>
    <w:tbl>
      <w:tblPr>
        <w:tblW w:w="1349" w:type="dxa"/>
        <w:jc w:val="left"/>
        <w:tblInd w:w="0" w:type="dxa"/>
        <w:tblLayout w:type="fixed"/>
        <w:tblCellMar>
          <w:top w:w="28" w:type="dxa"/>
          <w:left w:w="28" w:type="dxa"/>
          <w:bottom w:w="28" w:type="dxa"/>
          <w:right w:w="28" w:type="dxa"/>
        </w:tblCellMar>
      </w:tblPr>
      <w:tblGrid>
        <w:gridCol w:w="432"/>
        <w:gridCol w:w="378"/>
        <w:gridCol w:w="539"/>
      </w:tblGrid>
      <w:tr>
        <w:trPr/>
        <w:tc>
          <w:tcPr>
            <w:tcW w:w="432"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r>
      <w:tr>
        <w:trPr/>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Name</w:t>
            </w:r>
          </w:p>
        </w:tc>
      </w:tr>
      <w:tr>
        <w:trPr/>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Date Accepted</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351155"/>
                <wp:effectExtent l="0" t="0" r="0" b="0"/>
                <wp:wrapNone/>
                <wp:docPr id="143" name="Frame141"/>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0"/>
          <w:u w:val="single"/>
        </w:rPr>
      </w:pPr>
      <w:r>
        <w:rPr>
          <w:rFonts w:ascii="Times New Roman;serif" w:hAnsi="Times New Roman;serif"/>
          <w:b/>
          <w:color w:val="000000"/>
          <w:sz w:val="20"/>
          <w:u w:val="single"/>
        </w:rPr>
        <w:t>SOTERA HEALTH COMPANY</w:t>
        <w:br/>
        <w:br/>
        <w:t>2020 OMNIBUS INCENTIVE PLAN</w:t>
        <w:br/>
        <w:br/>
        <w:t>RESTRICTED STOCK UNIT AGREEMENT</w:t>
      </w:r>
    </w:p>
    <w:p>
      <w:pPr>
        <w:pStyle w:val="TextBody"/>
        <w:bidi w:val="0"/>
        <w:spacing w:lineRule="auto" w:line="288" w:before="0" w:after="240"/>
        <w:ind w:left="0" w:right="0" w:firstLine="720"/>
        <w:jc w:val="both"/>
        <w:rPr/>
      </w:pPr>
      <w:r>
        <w:rPr>
          <w:rFonts w:ascii="Times New Roman;serif" w:hAnsi="Times New Roman;serif"/>
          <w:b w:val="false"/>
          <w:color w:val="000000"/>
          <w:sz w:val="20"/>
        </w:rPr>
        <w:t>Pursuant to your Restricted Stock Unit Grant Notice (the “</w:t>
      </w:r>
      <w:r>
        <w:rPr>
          <w:rFonts w:ascii="Times New Roman;serif" w:hAnsi="Times New Roman;serif"/>
          <w:b w:val="false"/>
          <w:color w:val="000000"/>
          <w:sz w:val="20"/>
          <w:u w:val="single"/>
        </w:rPr>
        <w:t>Grant Notice</w:t>
      </w:r>
      <w:r>
        <w:rPr>
          <w:color w:val="000000"/>
        </w:rPr>
        <w:t>”</w:t>
      </w:r>
      <w:r>
        <w:rPr>
          <w:rFonts w:ascii="Times New Roman;serif" w:hAnsi="Times New Roman;serif"/>
          <w:b w:val="false"/>
          <w:color w:val="000000"/>
          <w:sz w:val="20"/>
        </w:rPr>
        <w:t>) and this Restricted Stock Unit Agreement (the “</w:t>
      </w:r>
      <w:r>
        <w:rPr>
          <w:rFonts w:ascii="Times New Roman;serif" w:hAnsi="Times New Roman;serif"/>
          <w:b w:val="false"/>
          <w:color w:val="000000"/>
          <w:sz w:val="20"/>
          <w:u w:val="single"/>
        </w:rPr>
        <w:t>Agreement</w:t>
      </w:r>
      <w:r>
        <w:rPr>
          <w:color w:val="000000"/>
        </w:rPr>
        <w:t>”</w:t>
      </w:r>
      <w:r>
        <w:rPr>
          <w:rFonts w:ascii="Times New Roman;serif" w:hAnsi="Times New Roman;serif"/>
          <w:b w:val="false"/>
          <w:color w:val="000000"/>
          <w:sz w:val="20"/>
        </w:rPr>
        <w:t>), Sotera Health Company, a Delaware corporation (the “</w:t>
      </w:r>
      <w:r>
        <w:rPr>
          <w:rFonts w:ascii="Times New Roman;serif" w:hAnsi="Times New Roman;serif"/>
          <w:b w:val="false"/>
          <w:color w:val="000000"/>
          <w:sz w:val="20"/>
          <w:u w:val="single"/>
        </w:rPr>
        <w:t>Company</w:t>
      </w:r>
      <w:r>
        <w:rPr>
          <w:color w:val="000000"/>
        </w:rPr>
        <w:t>”</w:t>
      </w:r>
      <w:r>
        <w:rPr>
          <w:rFonts w:ascii="Times New Roman;serif" w:hAnsi="Times New Roman;serif"/>
          <w:b w:val="false"/>
          <w:color w:val="000000"/>
          <w:sz w:val="20"/>
        </w:rPr>
        <w:t>), has granted you (the “</w:t>
      </w:r>
      <w:r>
        <w:rPr>
          <w:rFonts w:ascii="Times New Roman;serif" w:hAnsi="Times New Roman;serif"/>
          <w:b w:val="false"/>
          <w:color w:val="000000"/>
          <w:sz w:val="20"/>
          <w:u w:val="single"/>
        </w:rPr>
        <w:t>Participant</w:t>
      </w:r>
      <w:r>
        <w:rPr>
          <w:color w:val="000000"/>
        </w:rPr>
        <w:t>”</w:t>
      </w:r>
      <w:r>
        <w:rPr>
          <w:rFonts w:ascii="Times New Roman;serif" w:hAnsi="Times New Roman;serif"/>
          <w:b w:val="false"/>
          <w:color w:val="000000"/>
          <w:sz w:val="20"/>
        </w:rPr>
        <w:t>), as of the Date of Grant set forth in the Grant Notice, a Restricted Stock Unit award covering the number of units set forth in your Grant Notice, each of which represents one Share of the Company’s Common Stock (the “</w:t>
      </w:r>
      <w:r>
        <w:rPr>
          <w:rFonts w:ascii="Times New Roman;serif" w:hAnsi="Times New Roman;serif"/>
          <w:b w:val="false"/>
          <w:color w:val="000000"/>
          <w:sz w:val="20"/>
          <w:u w:val="single"/>
        </w:rPr>
        <w:t>RSUs</w:t>
      </w:r>
      <w:r>
        <w:rPr>
          <w:color w:val="000000"/>
        </w:rPr>
        <w:t>”</w:t>
      </w:r>
      <w:r>
        <w:rPr>
          <w:rFonts w:ascii="Times New Roman;serif" w:hAnsi="Times New Roman;serif"/>
          <w:b w:val="false"/>
          <w:color w:val="000000"/>
          <w:sz w:val="20"/>
        </w:rPr>
        <w:t>) pursuant to the Company’s 2020 Omnibus Incentive Plan and any applicable sub-plan for a particular country (together, the “</w:t>
      </w:r>
      <w:r>
        <w:rPr>
          <w:rFonts w:ascii="Times New Roman;serif" w:hAnsi="Times New Roman;serif"/>
          <w:b w:val="false"/>
          <w:color w:val="000000"/>
          <w:sz w:val="20"/>
          <w:u w:val="single"/>
        </w:rPr>
        <w:t>Plan</w:t>
      </w:r>
      <w:r>
        <w:rPr>
          <w:color w:val="000000"/>
        </w:rPr>
        <w:t>”</w:t>
      </w:r>
      <w:r>
        <w:rPr>
          <w:rFonts w:ascii="Times New Roman;serif" w:hAnsi="Times New Roman;serif"/>
          <w:b w:val="false"/>
          <w:color w:val="000000"/>
          <w:sz w:val="20"/>
        </w:rPr>
        <w:t>). Capitalized terms not explicitly defined in this Agreement but defined in the Plan or in the Grant Notice shall have the meaning ascribed to them in the Plan or in the Grant Notice. In the event of any conflict between the terms of this Agreement and the Plan, the terms of the Plan will control.</w:t>
      </w:r>
    </w:p>
    <w:p>
      <w:pPr>
        <w:pStyle w:val="TextBody"/>
        <w:bidi w:val="0"/>
        <w:spacing w:lineRule="auto" w:line="240" w:before="0" w:after="240"/>
        <w:ind w:left="0" w:right="0" w:firstLine="720"/>
        <w:jc w:val="both"/>
        <w:rPr/>
      </w:pPr>
      <w:r>
        <w:rPr>
          <w:rFonts w:ascii="Times New Roman;serif" w:hAnsi="Times New Roman;serif"/>
          <w:b w:val="false"/>
          <w:color w:val="000000"/>
          <w:sz w:val="24"/>
        </w:rPr>
        <w:t>1.</w:t>
      </w:r>
      <w:r>
        <w:rPr>
          <w:rFonts w:ascii="Times New Roman;serif" w:hAnsi="Times New Roman;serif"/>
          <w:b/>
          <w:color w:val="000000"/>
          <w:sz w:val="20"/>
          <w:u w:val="single"/>
        </w:rPr>
        <w:t>No Stockholder Rights</w:t>
      </w:r>
      <w:r>
        <w:rPr>
          <w:rFonts w:ascii="Times New Roman;serif" w:hAnsi="Times New Roman;serif"/>
          <w:b w:val="false"/>
          <w:color w:val="000000"/>
          <w:sz w:val="20"/>
        </w:rPr>
        <w:t>. Unless and until such time as Shares are issued pursuant to the Agreement in settlement of vested RSUs, Participant shall have no ownership of the Shares allocated to the RSUs, including, without limitation, no right to dividends (or dividend equivalents) or to vote such Shares.</w:t>
      </w:r>
    </w:p>
    <w:p>
      <w:pPr>
        <w:pStyle w:val="TextBody"/>
        <w:bidi w:val="0"/>
        <w:spacing w:lineRule="auto" w:line="240" w:before="0" w:after="240"/>
        <w:ind w:left="0" w:right="0" w:firstLine="720"/>
        <w:jc w:val="both"/>
        <w:rPr/>
      </w:pPr>
      <w:r>
        <w:rPr>
          <w:rFonts w:ascii="Times New Roman;serif" w:hAnsi="Times New Roman;serif"/>
          <w:b w:val="false"/>
          <w:color w:val="000000"/>
          <w:sz w:val="24"/>
        </w:rPr>
        <w:t>2.</w:t>
      </w:r>
      <w:r>
        <w:rPr>
          <w:rFonts w:ascii="Times New Roman;serif" w:hAnsi="Times New Roman;serif"/>
          <w:b/>
          <w:color w:val="000000"/>
          <w:sz w:val="20"/>
          <w:u w:val="single"/>
        </w:rPr>
        <w:t>Termination</w:t>
      </w:r>
      <w:r>
        <w:rPr>
          <w:rFonts w:ascii="Times New Roman;serif" w:hAnsi="Times New Roman;serif"/>
          <w:b w:val="false"/>
          <w:color w:val="000000"/>
          <w:sz w:val="20"/>
        </w:rPr>
        <w:t>. Except as otherwise provided in the Plan or Grant Notice, if Participant’s Continuous Service Status terminates at any time for any reason (including death or Disability), all RSUs for which vesting is no longer possible under the terms of the Grant Notice and this Agreement shall be forfeited to the Company on the date of such termination of Continuous Service Status, and all rights of Participant to such RSUs shall immediately terminate at such time. Subject to Applicable Law, in the event Participant’s Continuous Service Status is terminated by the Participant’s employer (together with the Participant’s former employer (if applicable), the “</w:t>
      </w:r>
      <w:r>
        <w:rPr>
          <w:rFonts w:ascii="Times New Roman;serif" w:hAnsi="Times New Roman;serif"/>
          <w:b w:val="false"/>
          <w:color w:val="000000"/>
          <w:sz w:val="20"/>
          <w:u w:val="single"/>
        </w:rPr>
        <w:t>Employer</w:t>
      </w:r>
      <w:r>
        <w:rPr>
          <w:color w:val="000000"/>
        </w:rPr>
        <w:t>”</w:t>
      </w:r>
      <w:r>
        <w:rPr>
          <w:rFonts w:ascii="Times New Roman;serif" w:hAnsi="Times New Roman;serif"/>
          <w:b w:val="false"/>
          <w:color w:val="000000"/>
          <w:sz w:val="20"/>
        </w:rPr>
        <w:t>) for Cause, then Participant’s vested but unsettled RSUs will also be forfeited upon the date of such termination, and Participant will have no further rights or interests with respect to such vested RSUs. Further, unless otherwise approved by the Company, Participant’s right to vest in the RSUs will terminate as of such date and will not be extended by any contractual notice period or any period of “garden leave” or similar notice period mandated under employment laws in the jurisdiction where Participant is employed or the terms of Participant’s employment agreement, if any. To the extent permitted by Section 409A of the Code, if Participant ceases to be an Employee but continues, or simultaneously commences, services as a Non-Employee Director, Participant shall be deemed to have had a termination of Continuous Service Status for purposes of this Agreement.</w:t>
      </w:r>
    </w:p>
    <w:p>
      <w:pPr>
        <w:pStyle w:val="TextBody"/>
        <w:bidi w:val="0"/>
        <w:spacing w:lineRule="auto" w:line="240" w:before="0" w:after="240"/>
        <w:ind w:left="0" w:right="0" w:firstLine="720"/>
        <w:jc w:val="both"/>
        <w:rPr/>
      </w:pPr>
      <w:r>
        <w:rPr>
          <w:rFonts w:ascii="Times New Roman;serif" w:hAnsi="Times New Roman;serif"/>
          <w:b w:val="false"/>
          <w:color w:val="000000"/>
          <w:sz w:val="24"/>
        </w:rPr>
        <w:t>3.</w:t>
      </w:r>
      <w:r>
        <w:rPr>
          <w:rFonts w:ascii="Times New Roman;serif" w:hAnsi="Times New Roman;serif"/>
          <w:b/>
          <w:color w:val="000000"/>
          <w:sz w:val="20"/>
          <w:u w:val="single"/>
        </w:rPr>
        <w:t>Responsibility for Taxes</w:t>
      </w:r>
      <w:r>
        <w:rPr>
          <w:rFonts w:ascii="Times New Roman;serif" w:hAnsi="Times New Roman;serif"/>
          <w:b w:val="false"/>
          <w:color w:val="000000"/>
          <w:sz w:val="20"/>
        </w:rPr>
        <w:t>. As a condition to the grant, vesting, and settlement of the RSUs, Participant acknowledges that, regardless of any action taken by the Company or, if different, the Employer, the ultimate liability for all income tax, social security contributions (including employer’s social security contributions to the extent such amounts may be lawfully recovered from or borne by the Participant), social insurance, payroll tax, fringe benefits tax, payment on account or other tax-related items (or any equivalent or similar taxes, contributions or other relevant tax-related items in any relevant jurisdiction) or required deductions, withholdings or payments legally applicable to him or her and related to the receipt, vesting or settlement of the RSUs, the issuance, holding or subsequent sale of the Shares allocated to the RSUs, or the participation in the Plan (“</w:t>
      </w:r>
      <w:r>
        <w:rPr>
          <w:rFonts w:ascii="Times New Roman;serif" w:hAnsi="Times New Roman;serif"/>
          <w:b w:val="false"/>
          <w:color w:val="000000"/>
          <w:sz w:val="20"/>
          <w:u w:val="single"/>
        </w:rPr>
        <w:t>Tax-Related Items</w:t>
      </w:r>
      <w:r>
        <w:rPr>
          <w:color w:val="000000"/>
        </w:rPr>
        <w:t>”</w:t>
      </w:r>
      <w:r>
        <w:rPr>
          <w:rFonts w:ascii="Times New Roman;serif" w:hAnsi="Times New Roman;serif"/>
          <w:b w:val="false"/>
          <w:color w:val="000000"/>
          <w:sz w:val="20"/>
        </w:rPr>
        <w:t>) is and remains Participant’s responsibility and may exceed the amount actually withheld by the Company or the Employer. Participant further acknowledges and agrees that Participant is solely responsible for filing all relevant documentation that may be required in relation to the RSUs or any Tax-Related Items (other than filings or documentation that is the specific obligation of the Company, its Parent, Subsidiaries or Affiliates (the “</w:t>
      </w:r>
      <w:r>
        <w:rPr>
          <w:rFonts w:ascii="Times New Roman;serif" w:hAnsi="Times New Roman;serif"/>
          <w:b w:val="false"/>
          <w:color w:val="000000"/>
          <w:sz w:val="20"/>
          <w:u w:val="single"/>
        </w:rPr>
        <w:t>Company Group</w:t>
      </w:r>
      <w:r>
        <w:rPr>
          <w:color w:val="000000"/>
        </w:rPr>
        <w:t>”</w:t>
      </w:r>
      <w:r>
        <w:rPr>
          <w:rFonts w:ascii="Times New Roman;serif" w:hAnsi="Times New Roman;serif"/>
          <w:b w:val="false"/>
          <w:color w:val="000000"/>
          <w:sz w:val="20"/>
        </w:rPr>
        <w:t>) pursuant to Applicable Laws), such as, but not limited to, personal income tax returns or reporting statements in relation to the receipt, vesting or settlement of the RSUs, the issuance of the Shares allocated to the RSUs, the holding of Shares or any bank or brokerage account, the subsequent sale of Shares, and the receipt of any dividends.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Participant further acknowledges that the Company and/or the Employer: (i) make no representations or undertakings regarding the treatment of any Tax-Related Items in connection with any aspect of the RSUs, including, but not limited to, the receipt, vesting or settlement of the RSUs, the issuance, holding or subsequent sale </w:t>
      </w:r>
    </w:p>
    <w:p>
      <w:pPr>
        <w:pStyle w:val="TextBody"/>
        <w:bidi w:val="0"/>
        <w:spacing w:before="0" w:after="0"/>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75260"/>
                <wp:effectExtent l="0" t="0" r="0" b="0"/>
                <wp:wrapNone/>
                <wp:docPr id="144" name="Frame1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of the Shares allocated to the RSUs and the receipt of any dividends; and (ii) do not commit to and are under no obligation to structure the terms of the grant or any aspect of the RSUs to reduce or eliminate Participant’s liability for Tax-Related Items or achieve any particular tax result. Participant also understands that Applicable Laws may require varying RSU or Share valuation methods for purposes of calculating Tax-Related Items, and the Company assumes no responsibility or liability in relation to any such valuation or for any calculation or reporting of income or Tax-Related Items that may be required of Participant under Applicable Laws.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By entering into this Agreement, Participant agrees to indemnify the Company, the Employer and any relevant Parent, Subsidiary or Affiliate, against all and any liability for any taxes or Tax-Related Items which may arise in respect of or in connection with the RSUs (or, for the avoidance of doubt, any RSUs granted or provided to Participant by way of rollover, assumption or replacement of the RSUs) or the Shares (or, for the avoidance of doubt, other shares or securities) issued or transferred pursuant to the vesting of the RSUs (or, for the avoidance of doubt, any RSUs granted or provided to Participant by way of rollover, assumption or replacement of the RSUs).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Further, if Participant is subject to Tax-Related Items in more than one jurisdiction between the Date of Grant and the date of any relevant taxable or tax withholding event, as applicable, Participant acknowledges that the Company and/or the Employer (or former employer, as applicable) may be required to withhold or account for Tax-Related Items in more than one jurisdiction.</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Prior to the relevant taxable or tax withholding event, as applicable, Participant agrees to make adequate arrangements satisfactory to the Company and/or the Employer to satisfy all Tax-Related Items. In this regard, pursuant to this Agreement and subject to the Grant Notice and Applicable Laws, unless otherwise determined by the Committee, Participant authorizes the Company and/or the Employer, or their respective agents, at their discretion, to satisfy Participant’s Tax Withholding Obligations by (i) withholding or deducting from Participant’s wages or other compensation paid to Participant by the Company or the Employer, (ii) withholding from proceeds of the sale of Shares acquired pursuant to the RSUs either through a voluntary sale or through a mandatory sale arranged by the Company (on Participant’s behalf pursuant to this authorization) without further consent, (iii) withholding Shares that would otherwise be issued upon settlement of the RSUs or (iv) such other method as determined by the Company.</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Depending on the method of satisfying the Tax Withholding Obligations, the Company and/or the Employer may pay, withhold or account for such Tax Withholding Obligations by considering applicable minimum statutory withholding amounts or other applicable tax or withholding rates, including maximum applicable rates, in which case Participant will (depending on the laws of the relevant jurisdiction) receive a refund of any over-withheld or over-paid amount in cash or otherwise be able to claim relief in respect of any such over-withheld or over-paid amount, and will in any event have no entitlement to the Share equivalent.</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Participant agrees to pay to the Company or the Employer any amount of Tax Withholding Obligations that the Company or the Employer may be required to pay, withhold or account for as a result of Participant’s receipt, vesting or settlement of the RSUs, the issuance or holding of the Shares allocated to the RSUs or the participation in the Plan that cannot be satisfied by the means previously described. The Company may refuse to issue or deliver the Shares or the proceeds of the sale of Shares if Participant fails to comply with his or her obligations in connection with the Tax Withholding Obligations.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Participant understands that Participant may suffer adverse tax consequences as a result of Participant’s receipt of the RSUs, the vesting and/or settlement of the RSUs, the issuance or holding of Shares allocated to the RSUs and/or the disposition of such Shares. Participant represents that Participant has consulted any tax consultants Participant deems advisable in connection with the receipt of the RSUs, the vesting and/or settlement of the RSUs, the issuance or holding of Shares allocated to the RSUs and/or the disposition of such Shares and that Participant is not relying on the Company (or the Employer) for any tax advice.</w:t>
      </w:r>
    </w:p>
    <w:p>
      <w:pPr>
        <w:pStyle w:val="TextBody"/>
        <w:bidi w:val="0"/>
        <w:spacing w:before="0" w:after="0"/>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351155"/>
                <wp:effectExtent l="0" t="0" r="0" b="0"/>
                <wp:wrapNone/>
                <wp:docPr id="145" name="Frame143"/>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4"/>
        </w:rPr>
        <w:t>4.</w:t>
      </w:r>
      <w:r>
        <w:rPr>
          <w:rFonts w:ascii="Times New Roman;serif" w:hAnsi="Times New Roman;serif"/>
          <w:b/>
          <w:color w:val="000000"/>
          <w:sz w:val="20"/>
          <w:u w:val="single"/>
        </w:rPr>
        <w:t>Nature of Grant</w:t>
      </w:r>
      <w:r>
        <w:rPr>
          <w:rFonts w:ascii="Times New Roman;serif" w:hAnsi="Times New Roman;serif"/>
          <w:b w:val="false"/>
          <w:color w:val="000000"/>
          <w:sz w:val="20"/>
        </w:rPr>
        <w:t>. In accepting the RSUs, Participant acknowledges, understands and agrees that:</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0"/>
        </w:rPr>
        <w:t>the Plan is established voluntarily by the Company, is discretionary in nature, and may be amended, suspended or terminated by the Company at any time, to the extent permitted by the Plan;</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0"/>
        </w:rPr>
        <w:t>the grant of the RSUs is voluntary and occasional and does not create any contractual or other right to receive future grants of Restricted Stock Units, or benefits in lieu of Restricted Stock Units, even if Restricted Stock Units have been granted in the past;</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0"/>
        </w:rPr>
        <w:t>all decisions with respect to future Restricted Stock Units or other grants, if any, will be at the sole discretion of the Company;</w:t>
      </w:r>
    </w:p>
    <w:p>
      <w:pPr>
        <w:pStyle w:val="TextBody"/>
        <w:bidi w:val="0"/>
        <w:spacing w:lineRule="auto" w:line="240"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0"/>
        </w:rPr>
        <w:t>Participant is voluntarily participating in the Plan;</w:t>
      </w:r>
    </w:p>
    <w:p>
      <w:pPr>
        <w:pStyle w:val="TextBody"/>
        <w:bidi w:val="0"/>
        <w:spacing w:lineRule="auto" w:line="240" w:before="0" w:after="240"/>
        <w:ind w:left="0" w:right="0" w:firstLine="720"/>
        <w:jc w:val="both"/>
        <w:rPr/>
      </w:pPr>
      <w:r>
        <w:rPr>
          <w:rFonts w:ascii="Times New Roman;serif" w:hAnsi="Times New Roman;serif"/>
          <w:b w:val="false"/>
          <w:color w:val="000000"/>
          <w:sz w:val="24"/>
        </w:rPr>
        <w:t>(e)</w:t>
      </w:r>
      <w:r>
        <w:rPr>
          <w:rFonts w:ascii="Times New Roman;serif" w:hAnsi="Times New Roman;serif"/>
          <w:b w:val="false"/>
          <w:color w:val="000000"/>
          <w:sz w:val="20"/>
        </w:rPr>
        <w:t>the RSUs and the Shares allocated to the RSUs are not intended to replace any pension rights or compensation and are outside the scope of Participant’s employment contract, if any;</w:t>
      </w:r>
    </w:p>
    <w:p>
      <w:pPr>
        <w:pStyle w:val="TextBody"/>
        <w:bidi w:val="0"/>
        <w:spacing w:lineRule="auto" w:line="240" w:before="0" w:after="240"/>
        <w:ind w:left="0" w:right="0" w:firstLine="720"/>
        <w:jc w:val="both"/>
        <w:rPr/>
      </w:pPr>
      <w:r>
        <w:rPr>
          <w:rFonts w:ascii="Times New Roman;serif" w:hAnsi="Times New Roman;serif"/>
          <w:b w:val="false"/>
          <w:color w:val="000000"/>
          <w:sz w:val="24"/>
        </w:rPr>
        <w:t>(f)</w:t>
      </w:r>
      <w:r>
        <w:rPr>
          <w:rFonts w:ascii="Times New Roman;serif" w:hAnsi="Times New Roman;serif"/>
          <w:b w:val="false"/>
          <w:color w:val="000000"/>
          <w:sz w:val="20"/>
        </w:rPr>
        <w:t>the RSUs and the Shares allocated to the RSUs , and the income and value of same, are not part of normal or expected compensation for any purpose, including, without limitation, calculating any severance, resignation, termination, redundancy, dismissal, end-of-service payments, bonuses, long-service awards, pension or retirement or welfare benefits or similar payments;</w:t>
      </w:r>
    </w:p>
    <w:p>
      <w:pPr>
        <w:pStyle w:val="TextBody"/>
        <w:bidi w:val="0"/>
        <w:spacing w:lineRule="auto" w:line="240" w:before="0" w:after="240"/>
        <w:ind w:left="0" w:right="0" w:firstLine="720"/>
        <w:jc w:val="both"/>
        <w:rPr/>
      </w:pPr>
      <w:r>
        <w:rPr>
          <w:rFonts w:ascii="Times New Roman;serif" w:hAnsi="Times New Roman;serif"/>
          <w:b w:val="false"/>
          <w:color w:val="000000"/>
          <w:sz w:val="24"/>
        </w:rPr>
        <w:t>(g)</w:t>
      </w:r>
      <w:r>
        <w:rPr>
          <w:rFonts w:ascii="Times New Roman;serif" w:hAnsi="Times New Roman;serif"/>
          <w:b w:val="false"/>
          <w:color w:val="000000"/>
          <w:sz w:val="20"/>
        </w:rPr>
        <w:t>unless otherwise provided in the Plan or by the Company in its discretion, the RSUs and the benefits evidenced by this Agreement do not create any entitlement to have the RSUs or any such benefits transferred to, or assumed by, another company nor to be exchanged, cashed out or substituted for, in connection with any corporate transaction affecting the Shares; and</w:t>
      </w:r>
    </w:p>
    <w:p>
      <w:pPr>
        <w:pStyle w:val="TextBody"/>
        <w:bidi w:val="0"/>
        <w:spacing w:lineRule="auto" w:line="240" w:before="0" w:after="240"/>
        <w:ind w:left="0" w:right="0" w:firstLine="720"/>
        <w:jc w:val="both"/>
        <w:rPr/>
      </w:pPr>
      <w:r>
        <w:rPr>
          <w:rFonts w:ascii="Times New Roman;serif" w:hAnsi="Times New Roman;serif"/>
          <w:b w:val="false"/>
          <w:color w:val="000000"/>
          <w:sz w:val="24"/>
        </w:rPr>
        <w:t>(h)</w:t>
      </w:r>
      <w:r>
        <w:rPr>
          <w:rFonts w:ascii="Times New Roman;serif" w:hAnsi="Times New Roman;serif"/>
          <w:b w:val="false"/>
          <w:color w:val="000000"/>
          <w:sz w:val="20"/>
        </w:rPr>
        <w:t>no entity in the Company Group shall be liable for any foreign exchange rate fluctuation between Participant’s local currency and the United States Dollar or the selection by the Company or any member of the Company Group in its sole discretion of an applicable foreign exchange rate that may affect the value of the RSUs (or the calculation of income or Tax-Related Items thereunder) or of any amounts due to Participant pursuant to the settlement of the RSUs or the subsequent sale of the Shares allocated to the RSUs.</w:t>
      </w:r>
    </w:p>
    <w:p>
      <w:pPr>
        <w:pStyle w:val="TextBody"/>
        <w:bidi w:val="0"/>
        <w:spacing w:lineRule="auto" w:line="240" w:before="0" w:after="240"/>
        <w:ind w:left="0" w:right="0" w:firstLine="720"/>
        <w:jc w:val="both"/>
        <w:rPr/>
      </w:pPr>
      <w:r>
        <w:rPr>
          <w:rFonts w:ascii="Times New Roman;serif" w:hAnsi="Times New Roman;serif"/>
          <w:b w:val="false"/>
          <w:color w:val="000000"/>
          <w:sz w:val="24"/>
        </w:rPr>
        <w:t>5.</w:t>
      </w:r>
      <w:r>
        <w:rPr>
          <w:rFonts w:ascii="Times New Roman;serif" w:hAnsi="Times New Roman;serif"/>
          <w:b/>
          <w:color w:val="000000"/>
          <w:sz w:val="20"/>
          <w:u w:val="single"/>
        </w:rPr>
        <w:t>Section 409A of the U.S. Internal Revenue Code</w:t>
      </w:r>
      <w:r>
        <w:rPr>
          <w:rFonts w:ascii="Times New Roman;serif" w:hAnsi="Times New Roman;serif"/>
          <w:b w:val="false"/>
          <w:color w:val="000000"/>
          <w:sz w:val="20"/>
        </w:rPr>
        <w:t>. All payments made and benefits provided under this Agreement are intended to be exempt from or comply with the requirements of Section 409A of the Code so that none of the payments or benefits will be subject to the adverse tax penalties imposed under Section 409A. Each tranche of RSUs that vests, or is scheduled to vest, pursuant to the Grant Notice shall be designated as a “separate payment” for purposes of Treasury Regulation Section 1.409A-2(b)(2). Notwithstanding anything in the Plan or this Agreement to the contrary, if the vesting of all or a portion of any unvested RSUs is accelerated in connection with the Participant’s termination of Continuous Service Status (provided that such termination is a “separation from service” within the meaning of Section 409A, as determined by the Company), other than due to death</w:t>
      </w:r>
      <w:r>
        <w:rPr>
          <w:rFonts w:ascii="Times New Roman;serif" w:hAnsi="Times New Roman;serif"/>
          <w:b/>
          <w:color w:val="000000"/>
          <w:sz w:val="20"/>
        </w:rPr>
        <w:t xml:space="preserve">, </w:t>
      </w:r>
      <w:r>
        <w:rPr>
          <w:rFonts w:ascii="Times New Roman;serif" w:hAnsi="Times New Roman;serif"/>
          <w:b w:val="false"/>
          <w:color w:val="000000"/>
          <w:sz w:val="20"/>
        </w:rPr>
        <w:t xml:space="preserve">and if both (a) the Participant is a “specified employee” within the meaning of Section 409A of the Code at the time of such termination of Continuous Service Status, and (b) the payment of such accelerated RSUs would result in the imposition of additional tax under Section 409A of the Code if paid to the Participant within the 6 month period following the Participant’s termination of Continuous Service Status, then the payment of such accelerated RSUs will not be made until the date that is 6 months and 1 day following the date of the Participant’s termination of Continuous Service Status, unless the Participant dies following such Participant’s termination of </w:t>
      </w:r>
    </w:p>
    <w:p>
      <w:pPr>
        <w:pStyle w:val="TextBody"/>
        <w:bidi w:val="0"/>
        <w:spacing w:before="0" w:after="0"/>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351155"/>
                <wp:effectExtent l="0" t="0" r="0" b="0"/>
                <wp:wrapNone/>
                <wp:docPr id="146" name="Frame144"/>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Continuous Service Status, in which case, the RSUs will be paid in Shares to the Participant’s estate as soon as practicable following Participant’s death. </w:t>
      </w:r>
    </w:p>
    <w:p>
      <w:pPr>
        <w:pStyle w:val="TextBody"/>
        <w:bidi w:val="0"/>
        <w:spacing w:lineRule="auto" w:line="288" w:before="0" w:after="240"/>
        <w:ind w:left="0" w:right="0" w:firstLine="720"/>
        <w:jc w:val="both"/>
        <w:rPr/>
      </w:pPr>
      <w:r>
        <w:rPr>
          <w:rFonts w:ascii="Times New Roman;serif" w:hAnsi="Times New Roman;serif"/>
          <w:b w:val="false"/>
          <w:color w:val="000000"/>
          <w:sz w:val="24"/>
        </w:rPr>
        <w:t>6.</w:t>
      </w:r>
      <w:r>
        <w:rPr>
          <w:rFonts w:ascii="Times New Roman;serif" w:hAnsi="Times New Roman;serif"/>
          <w:b w:val="false"/>
          <w:color w:val="000000"/>
          <w:sz w:val="20"/>
        </w:rPr>
        <w:t>In no event will the Company reimburse Participant for any taxes or other penalties that may be imposed on Participant as a result of Section 409A and, by accepting the RSUs, Participant hereby indemnifies the Company for any liability that arises as a result of Section 409A.</w:t>
      </w:r>
    </w:p>
    <w:p>
      <w:pPr>
        <w:pStyle w:val="TextBody"/>
        <w:bidi w:val="0"/>
        <w:spacing w:lineRule="auto" w:line="240" w:before="0" w:after="240"/>
        <w:ind w:left="0" w:right="0" w:firstLine="720"/>
        <w:jc w:val="both"/>
        <w:rPr/>
      </w:pPr>
      <w:r>
        <w:rPr>
          <w:rFonts w:ascii="Times New Roman;serif" w:hAnsi="Times New Roman;serif"/>
          <w:b w:val="false"/>
          <w:color w:val="000000"/>
          <w:sz w:val="24"/>
        </w:rPr>
        <w:t>7.</w:t>
      </w:r>
      <w:r>
        <w:rPr>
          <w:rFonts w:ascii="Times New Roman;serif" w:hAnsi="Times New Roman;serif"/>
          <w:b/>
          <w:color w:val="000000"/>
          <w:sz w:val="20"/>
          <w:u w:val="single"/>
        </w:rPr>
        <w:t>No Advice Regarding Grant</w:t>
      </w:r>
      <w:r>
        <w:rPr>
          <w:rFonts w:ascii="Times New Roman;serif" w:hAnsi="Times New Roman;serif"/>
          <w:b w:val="false"/>
          <w:color w:val="000000"/>
          <w:sz w:val="20"/>
        </w:rPr>
        <w:t>. The Company is not providing any tax, legal or financial advice, nor is the Company making any recommendations regarding Participant’s participation in the Plan, or Participant’s receipt of the RSUs, the vesting or settlement of the RSUs or the Shares allocated thereto or the sale of such Shares. Participant is hereby advised to consult with his or her own personal tax, legal and financial advisors regarding his or her participation in the Plan and the RSUs before accepting the RSUs or otherwise taking any action related to the RSUs or the Plan.</w:t>
      </w:r>
    </w:p>
    <w:p>
      <w:pPr>
        <w:pStyle w:val="TextBody"/>
        <w:bidi w:val="0"/>
        <w:spacing w:lineRule="auto" w:line="240" w:before="0" w:after="240"/>
        <w:ind w:left="0" w:right="0" w:firstLine="720"/>
        <w:jc w:val="both"/>
        <w:rPr/>
      </w:pPr>
      <w:r>
        <w:rPr>
          <w:rFonts w:ascii="Times New Roman;serif" w:hAnsi="Times New Roman;serif"/>
          <w:b w:val="false"/>
          <w:color w:val="000000"/>
          <w:sz w:val="24"/>
        </w:rPr>
        <w:t>8.</w:t>
      </w:r>
      <w:r>
        <w:rPr>
          <w:rFonts w:ascii="Times New Roman;serif" w:hAnsi="Times New Roman;serif"/>
          <w:b/>
          <w:color w:val="000000"/>
          <w:sz w:val="20"/>
          <w:u w:val="single"/>
        </w:rPr>
        <w:t>Data Privacy</w:t>
      </w:r>
      <w:r>
        <w:rPr>
          <w:rFonts w:ascii="Times New Roman;serif" w:hAnsi="Times New Roman;serif"/>
          <w:b w:val="false"/>
          <w:color w:val="000000"/>
          <w:sz w:val="20"/>
        </w:rPr>
        <w:t>.</w:t>
      </w:r>
    </w:p>
    <w:p>
      <w:pPr>
        <w:pStyle w:val="TextBody"/>
        <w:bidi w:val="0"/>
        <w:spacing w:lineRule="auto" w:line="288" w:before="0" w:after="240"/>
        <w:ind w:left="0" w:right="0" w:firstLine="720"/>
        <w:jc w:val="both"/>
        <w:rPr/>
      </w:pPr>
      <w:r>
        <w:rPr>
          <w:rFonts w:ascii="Times New Roman;serif" w:hAnsi="Times New Roman;serif"/>
          <w:b/>
          <w:i/>
          <w:color w:val="000000"/>
          <w:sz w:val="20"/>
        </w:rPr>
        <w:t>Participant understands that the Company Group may hold certain personal information about Participant, including, but not limited to, Participant’s name, home address and telephone number, date of birth, social insurance number or other identification number, salary, nationality, job title, any Shares or directorships held in the Company, details of all Awards, or any other entitlement to Shares awarded, canceled, exercised, vested, unvested or outstanding in Participant’s favor (“</w:t>
      </w:r>
      <w:r>
        <w:rPr>
          <w:rFonts w:ascii="Times New Roman;serif" w:hAnsi="Times New Roman;serif"/>
          <w:b/>
          <w:i/>
          <w:color w:val="000000"/>
          <w:sz w:val="20"/>
          <w:u w:val="single"/>
        </w:rPr>
        <w:t>Data</w:t>
      </w:r>
      <w:r>
        <w:rPr>
          <w:color w:val="000000"/>
        </w:rPr>
        <w:t>”</w:t>
      </w:r>
      <w:r>
        <w:rPr>
          <w:rFonts w:ascii="Times New Roman;serif" w:hAnsi="Times New Roman;serif"/>
          <w:b/>
          <w:i/>
          <w:color w:val="000000"/>
          <w:sz w:val="20"/>
        </w:rPr>
        <w:t>), for the purpose of implementing, administering and managing the Plan, including, as the case may be, sensitive information pertaining to disability claims, (“</w:t>
      </w:r>
      <w:r>
        <w:rPr>
          <w:rFonts w:ascii="Times New Roman;serif" w:hAnsi="Times New Roman;serif"/>
          <w:b/>
          <w:i/>
          <w:color w:val="000000"/>
          <w:sz w:val="20"/>
          <w:u w:val="single"/>
        </w:rPr>
        <w:t>Data</w:t>
      </w:r>
      <w:r>
        <w:rPr>
          <w:color w:val="000000"/>
        </w:rPr>
        <w:t>”</w:t>
      </w:r>
      <w:r>
        <w:rPr>
          <w:rFonts w:ascii="Times New Roman;serif" w:hAnsi="Times New Roman;serif"/>
          <w:b/>
          <w:i/>
          <w:color w:val="000000"/>
          <w:sz w:val="20"/>
        </w:rPr>
        <w:t>), to the extent necessary for the sole purpose of implementing, administering and managing the Plan. Participant understands that Data will be transferred to such stock plan service provider as may be selected by the Company, presently or in the future, which may be assisting the Company with the implementation, administration and management of the Plan, to the extent necessary and for the sole purpose of the administration and management of the Plan.</w:t>
      </w:r>
    </w:p>
    <w:p>
      <w:pPr>
        <w:pStyle w:val="TextBody"/>
        <w:bidi w:val="0"/>
        <w:spacing w:lineRule="auto" w:line="288" w:before="0" w:after="240"/>
        <w:ind w:left="0" w:right="0" w:firstLine="720"/>
        <w:jc w:val="both"/>
        <w:rPr>
          <w:rFonts w:ascii="Times New Roman;serif" w:hAnsi="Times New Roman;serif"/>
          <w:b/>
          <w:i/>
          <w:color w:val="000000"/>
          <w:sz w:val="20"/>
        </w:rPr>
      </w:pPr>
      <w:r>
        <w:rPr>
          <w:rFonts w:ascii="Times New Roman;serif" w:hAnsi="Times New Roman;serif"/>
          <w:b/>
          <w:i/>
          <w:color w:val="000000"/>
          <w:sz w:val="20"/>
        </w:rPr>
        <w:t>Participant understands that the recipients of the Data may be located in the United States or elsewhere, and that the recipient’s country (e.g., the United States) may have different data privacy laws and protections than Participant’s country.</w:t>
      </w:r>
    </w:p>
    <w:p>
      <w:pPr>
        <w:pStyle w:val="TextBody"/>
        <w:bidi w:val="0"/>
        <w:spacing w:lineRule="auto" w:line="240" w:before="0" w:after="240"/>
        <w:ind w:left="0" w:right="0" w:firstLine="720"/>
        <w:jc w:val="both"/>
        <w:rPr/>
      </w:pPr>
      <w:r>
        <w:rPr>
          <w:rFonts w:ascii="Times New Roman;serif" w:hAnsi="Times New Roman;serif"/>
          <w:b w:val="false"/>
          <w:color w:val="000000"/>
          <w:sz w:val="24"/>
        </w:rPr>
        <w:t>9.</w:t>
      </w:r>
      <w:r>
        <w:rPr>
          <w:rFonts w:ascii="Times New Roman;serif" w:hAnsi="Times New Roman;serif"/>
          <w:b/>
          <w:color w:val="000000"/>
          <w:sz w:val="20"/>
          <w:u w:val="single"/>
        </w:rPr>
        <w:t>Miscellaneous</w:t>
      </w:r>
      <w:r>
        <w:rPr>
          <w:rFonts w:ascii="Times New Roman;serif" w:hAnsi="Times New Roman;serif"/>
          <w:b w:val="false"/>
          <w:color w:val="000000"/>
          <w:sz w:val="20"/>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color w:val="000000"/>
          <w:sz w:val="20"/>
          <w:u w:val="single"/>
        </w:rPr>
        <w:t>Governing Law and Venue</w:t>
      </w:r>
      <w:r>
        <w:rPr>
          <w:rFonts w:ascii="Times New Roman;serif" w:hAnsi="Times New Roman;serif"/>
          <w:b w:val="false"/>
          <w:color w:val="000000"/>
          <w:sz w:val="20"/>
        </w:rPr>
        <w:t>. This Agreement and all acts and transactions pursuant hereto and the rights and obligations of the parties hereto shall be governed, construed and interpreted in accordance with the laws of the State of Delaware, without giving effect to principles of conflicts of law. For purposes of any action, lawsuit or other proceedings brought to enforce this Agreement, relating to it, or arising from it, the parties hereby submit and consent to the sole and exclusive jurisdiction of the Court of Chancery of the State of Delaware located in Wilmington, Delaware (or, if the Court of Chancery of the State of Delaware declines to accept jurisdiction over a particular matter, any state court located in Wilmington, Delaware or the United States District Court for the District of Delaware) and appellate courts thereof, and no other courts, where this grant is made and/or to be performed.</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color w:val="000000"/>
          <w:sz w:val="20"/>
          <w:u w:val="single"/>
        </w:rPr>
        <w:t>Addendum and Sub-Plans</w:t>
      </w:r>
      <w:r>
        <w:rPr>
          <w:rFonts w:ascii="Times New Roman;serif" w:hAnsi="Times New Roman;serif"/>
          <w:b w:val="false"/>
          <w:color w:val="000000"/>
          <w:sz w:val="20"/>
        </w:rPr>
        <w:t xml:space="preserve">. Notwithstanding any provisions in this Agreement, the RSUs shall be subject to any special terms and conditions set forth in any Addendum to this Agreement for Participant’s country. Moreover, if Participant relocates to one of the countries included in any Addendum, the special terms and conditions for such country will apply to Participant, to the extent the Company determines that the application of such terms and conditions is necessary or advisable for legal or administrative reasons. Any Addendum that may be attached hereto constitutes part of this Agreement. Further, the Plan shall be deemed to include any special terms and conditions set forth in any applicable sub-plan for Participant’s country (if any), and, if Participant relocates to a country for which the Company has established a sub-plan, the special terms and </w:t>
      </w:r>
    </w:p>
    <w:p>
      <w:pPr>
        <w:pStyle w:val="TextBody"/>
        <w:bidi w:val="0"/>
        <w:spacing w:before="0" w:after="0"/>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351155"/>
                <wp:effectExtent l="0" t="0" r="0" b="0"/>
                <wp:wrapNone/>
                <wp:docPr id="147" name="Frame145"/>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0"/>
        </w:rPr>
      </w:pPr>
      <w:r>
        <w:rPr>
          <w:rFonts w:ascii="Times New Roman;serif" w:hAnsi="Times New Roman;serif"/>
          <w:b w:val="false"/>
          <w:color w:val="000000"/>
          <w:sz w:val="20"/>
        </w:rPr>
        <w:t>conditions for such country will apply to Participant, to the extent the Company determines that the application of such terms and conditions is necessary or advisable for legal or administrative reasons.</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color w:val="000000"/>
          <w:sz w:val="20"/>
          <w:u w:val="single"/>
        </w:rPr>
        <w:t>Compensation Recovery</w:t>
      </w:r>
      <w:r>
        <w:rPr>
          <w:rFonts w:ascii="Times New Roman;serif" w:hAnsi="Times New Roman;serif"/>
          <w:b w:val="false"/>
          <w:color w:val="000000"/>
          <w:sz w:val="20"/>
        </w:rPr>
        <w:t>. Notwithstanding anything in the Grant Notice or RSU Agreement to the contrary, the Participant acknowledges and agrees that the Grant Notice and this RSU Agreement and the award described herein (and any settlement thereof) are subject to the terms and conditions of the Company’s clawback provisions, policy or policies (if any) as may exist or be in effect from time to time, including specifically to implement Section 10D of the Exchange Act and any applicable rules or regulations promulgated thereunder (including applicable rules and regulations of any national securities exchange on which the Shares at any point may be traded) (the “</w:t>
      </w:r>
      <w:r>
        <w:rPr>
          <w:rFonts w:ascii="Times New Roman;serif" w:hAnsi="Times New Roman;serif"/>
          <w:b w:val="false"/>
          <w:color w:val="000000"/>
          <w:sz w:val="20"/>
          <w:u w:val="single"/>
        </w:rPr>
        <w:t>Compensation Recovery Policy</w:t>
      </w:r>
      <w:r>
        <w:rPr>
          <w:color w:val="000000"/>
        </w:rPr>
        <w:t>”</w:t>
      </w:r>
      <w:r>
        <w:rPr>
          <w:rFonts w:ascii="Times New Roman;serif" w:hAnsi="Times New Roman;serif"/>
          <w:b w:val="false"/>
          <w:color w:val="000000"/>
          <w:sz w:val="20"/>
        </w:rPr>
        <w:t>), and that applicable provisions of the Grant Notice and this RSU Agreement (or any related documents) shall be interpreted consistently with (or deemed superseded by and/or subject to, as applicable) the terms and conditions of the Compensation Recovery Policy. Further, by accepting these RSUs, the Participant agrees (or has agreed) to fully cooperate with and assist the Company in connection with any of the Participant’s obligations to the Company pursuant to the Compensation Recovery Policy, and agrees (or has agreed) that the Company may enforce its rights under the Compensation Recovery Policy through any and all reasonable means permitted under applicable law as it deems necessary or desirable under the Compensation Recovery Policy, in each case from and after the effective dates thereof. Such cooperation and assistance shall include, but is not limited to, executing, completing and submitting any documentation necessary to facilitate the recovery or recoupment by the Company from the Participant of any such amounts, including from the Participants’ accounts or from any other compensation, to the extent permissible under Section 409A of the Code.</w:t>
      </w:r>
    </w:p>
    <w:p>
      <w:pPr>
        <w:pStyle w:val="TextBody"/>
        <w:bidi w:val="0"/>
        <w:spacing w:lineRule="auto" w:line="240" w:before="0" w:after="240"/>
        <w:ind w:left="0" w:right="0" w:firstLine="1440"/>
        <w:jc w:val="both"/>
        <w:rPr/>
      </w:pPr>
      <w:r>
        <w:rPr>
          <w:rFonts w:ascii="Times New Roman;serif" w:hAnsi="Times New Roman;serif"/>
          <w:b w:val="false"/>
          <w:color w:val="000000"/>
          <w:sz w:val="24"/>
        </w:rPr>
        <w:t>(d)</w:t>
      </w:r>
      <w:r>
        <w:rPr>
          <w:rFonts w:ascii="Times New Roman;serif" w:hAnsi="Times New Roman;serif"/>
          <w:b/>
          <w:color w:val="000000"/>
          <w:sz w:val="20"/>
          <w:u w:val="single"/>
        </w:rPr>
        <w:t>Entire Agreement; Enforcement of Rights; Amendment</w:t>
      </w:r>
      <w:r>
        <w:rPr>
          <w:rFonts w:ascii="Times New Roman;serif" w:hAnsi="Times New Roman;serif"/>
          <w:b w:val="false"/>
          <w:color w:val="000000"/>
          <w:sz w:val="20"/>
        </w:rPr>
        <w:t>. This Agreement, together with the Plan, the Grant Notice, and the Performance Memo sets forth the entire agreement and understanding of the parties relating to the subject matter herein and merges all prior or contemporaneous discussions between them. Except as contemplated by the Plan, no modification of or amendment to this Agreement, nor any waiver of any rights under this Agreement, shall be effective unless in writing signed by the parties to this Agreement to the extent it would materially and adversely affect the rights of Participant. The failure by either party to enforce any rights under this Agreement shall not be construed as a waiver of any rights of such party. Notwithstanding anything to the contrary in the Plan or this Agreement, the Company reserves the right to revise this Agreement as it deems necessary or advisable, in its sole discretion and without the consent of Participant, to comply with Code Section 409A or to otherwise avoid imposition of any additional tax or income recognition under Section 409A of the Code in connection with the RSUs.</w:t>
      </w:r>
    </w:p>
    <w:p>
      <w:pPr>
        <w:pStyle w:val="TextBody"/>
        <w:bidi w:val="0"/>
        <w:spacing w:lineRule="auto" w:line="240" w:before="0" w:after="240"/>
        <w:ind w:left="0" w:right="0" w:firstLine="1440"/>
        <w:jc w:val="both"/>
        <w:rPr/>
      </w:pPr>
      <w:r>
        <w:rPr>
          <w:rFonts w:ascii="Times New Roman;serif" w:hAnsi="Times New Roman;serif"/>
          <w:b w:val="false"/>
          <w:color w:val="000000"/>
          <w:sz w:val="24"/>
        </w:rPr>
        <w:t>(e)</w:t>
      </w:r>
      <w:r>
        <w:rPr>
          <w:rFonts w:ascii="Times New Roman;serif" w:hAnsi="Times New Roman;serif"/>
          <w:b/>
          <w:color w:val="000000"/>
          <w:sz w:val="20"/>
          <w:u w:val="single"/>
        </w:rPr>
        <w:t>Severability</w:t>
      </w:r>
      <w:r>
        <w:rPr>
          <w:rFonts w:ascii="Times New Roman;serif" w:hAnsi="Times New Roman;serif"/>
          <w:b w:val="false"/>
          <w:color w:val="000000"/>
          <w:sz w:val="20"/>
        </w:rPr>
        <w:t>. If one or more provisions of this Agreement, the Grant Notice or the Plan are held to be unenforceable under Applicable Laws, the parties agree to renegotiate such provision in good faith. In the event that the parties do not reach a mutually agreeable and enforceable replacement for such provision, then (i) such provision shall be excluded from this Agreement, the Grant Notice and the Plan, (ii) the balance of the Agreement, the Grant Notice and the Plan shall be interpreted as if such provision were so excluded and (iii) the balance of the Agreement, the Grant Notice and the Plan shall be enforceable in accordance with its terms.</w:t>
      </w:r>
    </w:p>
    <w:p>
      <w:pPr>
        <w:pStyle w:val="TextBody"/>
        <w:bidi w:val="0"/>
        <w:spacing w:lineRule="auto" w:line="240" w:before="0" w:after="240"/>
        <w:ind w:left="0" w:right="0" w:firstLine="1440"/>
        <w:jc w:val="both"/>
        <w:rPr/>
      </w:pPr>
      <w:r>
        <w:rPr>
          <w:rFonts w:ascii="Times New Roman;serif" w:hAnsi="Times New Roman;serif"/>
          <w:b w:val="false"/>
          <w:color w:val="000000"/>
          <w:sz w:val="24"/>
        </w:rPr>
        <w:t>(f)</w:t>
      </w:r>
      <w:r>
        <w:rPr>
          <w:rFonts w:ascii="Times New Roman;serif" w:hAnsi="Times New Roman;serif"/>
          <w:b/>
          <w:color w:val="000000"/>
          <w:sz w:val="20"/>
          <w:u w:val="single"/>
        </w:rPr>
        <w:t>Language</w:t>
      </w:r>
      <w:r>
        <w:rPr>
          <w:rFonts w:ascii="Times New Roman;serif" w:hAnsi="Times New Roman;serif"/>
          <w:b w:val="false"/>
          <w:color w:val="000000"/>
          <w:sz w:val="20"/>
        </w:rPr>
        <w:t>. If Participant has received this Agreement, the Grant Notice, the Performance Memo, the Plan or any other document related to the RSUs and/or the Plan translated into a language other than English and if the meaning of the translated version is different than the English version, the English version will control.</w:t>
      </w:r>
    </w:p>
    <w:p>
      <w:pPr>
        <w:pStyle w:val="TextBody"/>
        <w:bidi w:val="0"/>
        <w:spacing w:lineRule="auto" w:line="240" w:before="0" w:after="240"/>
        <w:ind w:left="0" w:right="0" w:firstLine="1440"/>
        <w:jc w:val="both"/>
        <w:rPr/>
      </w:pPr>
      <w:r>
        <w:rPr>
          <w:rFonts w:ascii="Times New Roman;serif" w:hAnsi="Times New Roman;serif"/>
          <w:b w:val="false"/>
          <w:color w:val="000000"/>
          <w:sz w:val="24"/>
        </w:rPr>
        <w:t>(g)</w:t>
      </w:r>
      <w:r>
        <w:rPr>
          <w:rFonts w:ascii="Times New Roman;serif" w:hAnsi="Times New Roman;serif"/>
          <w:b/>
          <w:color w:val="000000"/>
          <w:sz w:val="20"/>
          <w:u w:val="single"/>
        </w:rPr>
        <w:t>Imposition of Other Requirements</w:t>
      </w:r>
      <w:r>
        <w:rPr>
          <w:rFonts w:ascii="Times New Roman;serif" w:hAnsi="Times New Roman;serif"/>
          <w:b w:val="false"/>
          <w:color w:val="000000"/>
          <w:sz w:val="20"/>
        </w:rPr>
        <w:t xml:space="preserve">. The Company reserves the right to impose other requirements on Participant’s participation in the Plan, on the RSUs and on any Shares allocated to the RSUs, to the extent the Company determines it is necessary or advisable for legal or administrative reasons, and to require Participant to sign any additional agreements or undertakings that may be necessary to accomplish the foregoing. Participant also acknowledges that the Applicable Laws of the country in which Participant is residing or working at the time of grant, vesting and settlement of the RSUs or the sale of Shares received pursuant to the RSUs (including any rules or regulations governing securities, foreign exchange, tax, labor, or other matters) may subject Participant to additional procedural or regulatory requirements that Participant is and will be solely responsible for and must fulfill. Such requirements may be outlined in, but are not limited to, any Addendum attached hereto. </w:t>
      </w:r>
    </w:p>
    <w:p>
      <w:pPr>
        <w:pStyle w:val="TextBody"/>
        <w:bidi w:val="0"/>
        <w:spacing w:before="0" w:after="0"/>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351155"/>
                <wp:effectExtent l="0" t="0" r="0" b="0"/>
                <wp:wrapNone/>
                <wp:docPr id="148" name="Frame14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0"/>
        </w:rPr>
      </w:pPr>
      <w:r>
        <w:rPr>
          <w:rFonts w:ascii="Times New Roman;serif" w:hAnsi="Times New Roman;serif"/>
          <w:b w:val="false"/>
          <w:color w:val="000000"/>
          <w:sz w:val="20"/>
        </w:rPr>
        <w:t>Notwithstanding any provision herein, the RSUs and Participant’s participation in the Plan shall be subject to any applicable special terms and conditions or disclosures as set forth in any Addendum attached hereto.</w:t>
      </w:r>
    </w:p>
    <w:p>
      <w:pPr>
        <w:pStyle w:val="TextBody"/>
        <w:bidi w:val="0"/>
        <w:spacing w:lineRule="auto" w:line="240" w:before="0" w:after="240"/>
        <w:ind w:left="0" w:right="0" w:firstLine="1440"/>
        <w:jc w:val="both"/>
        <w:rPr/>
      </w:pPr>
      <w:r>
        <w:rPr>
          <w:rFonts w:ascii="Times New Roman;serif" w:hAnsi="Times New Roman;serif"/>
          <w:b w:val="false"/>
          <w:color w:val="000000"/>
          <w:sz w:val="24"/>
        </w:rPr>
        <w:t>(h)</w:t>
      </w:r>
      <w:r>
        <w:rPr>
          <w:rFonts w:ascii="Times New Roman;serif" w:hAnsi="Times New Roman;serif"/>
          <w:b/>
          <w:color w:val="000000"/>
          <w:sz w:val="20"/>
          <w:u w:val="single"/>
        </w:rPr>
        <w:t>Notices</w:t>
      </w:r>
      <w:r>
        <w:rPr>
          <w:rFonts w:ascii="Times New Roman;serif" w:hAnsi="Times New Roman;serif"/>
          <w:b w:val="false"/>
          <w:color w:val="000000"/>
          <w:sz w:val="20"/>
        </w:rPr>
        <w:t>. Any notice, demand or request required or permitted to be given under this Agreement shall be in writing and shall be deemed sufficient when delivered personally or by overnight courier or sent by email or fax, or 48 hours after being deposited in the U.S. mail or a comparable foreign mail service, as certified or registered mail with postage or shipping charges prepaid, addressed to the party to be notified at such party’s address as set forth on the signature page, as subsequently modified by written notice, or if no address is specified on the signature page, at the most recent address, email or fax number set forth in the Company’s books and records.</w:t>
      </w:r>
    </w:p>
    <w:p>
      <w:pPr>
        <w:pStyle w:val="TextBody"/>
        <w:bidi w:val="0"/>
        <w:spacing w:lineRule="auto" w:line="240" w:before="0" w:after="240"/>
        <w:ind w:left="0" w:right="0" w:firstLine="1440"/>
        <w:jc w:val="both"/>
        <w:rPr/>
      </w:pPr>
      <w:r>
        <w:rPr>
          <w:rFonts w:ascii="Times New Roman;serif" w:hAnsi="Times New Roman;serif"/>
          <w:b w:val="false"/>
          <w:color w:val="000000"/>
          <w:sz w:val="24"/>
        </w:rPr>
        <w:t>(i)</w:t>
      </w:r>
      <w:r>
        <w:rPr>
          <w:rFonts w:ascii="Times New Roman;serif" w:hAnsi="Times New Roman;serif"/>
          <w:b/>
          <w:color w:val="000000"/>
          <w:sz w:val="20"/>
          <w:u w:val="single"/>
        </w:rPr>
        <w:t>Counterparts</w:t>
      </w:r>
      <w:r>
        <w:rPr>
          <w:rFonts w:ascii="Times New Roman;serif" w:hAnsi="Times New Roman;serif"/>
          <w:b w:val="false"/>
          <w:color w:val="000000"/>
          <w:sz w:val="20"/>
        </w:rPr>
        <w:t>. This Agreement may be executed in two or more counterparts, each of which shall be deemed an original and all of which together shall constitute one instrument. Facsimile, email or other electronic execution and delivery of this Agreement (including but not limited to execution by electronic signature or click-through electronic acceptance) shall constitute valid and binding execution and delivery for all purposes and shall be deemed to be, and have the effect of, an original signature.</w:t>
      </w:r>
    </w:p>
    <w:p>
      <w:pPr>
        <w:pStyle w:val="TextBody"/>
        <w:bidi w:val="0"/>
        <w:spacing w:lineRule="auto" w:line="240" w:before="0" w:after="240"/>
        <w:ind w:left="0" w:right="0" w:firstLine="1440"/>
        <w:jc w:val="both"/>
        <w:rPr/>
      </w:pPr>
      <w:r>
        <w:rPr>
          <w:rFonts w:ascii="Times New Roman;serif" w:hAnsi="Times New Roman;serif"/>
          <w:b w:val="false"/>
          <w:color w:val="000000"/>
          <w:sz w:val="24"/>
        </w:rPr>
        <w:t>(j)</w:t>
      </w:r>
      <w:r>
        <w:rPr>
          <w:rFonts w:ascii="Times New Roman;serif" w:hAnsi="Times New Roman;serif"/>
          <w:b/>
          <w:color w:val="000000"/>
          <w:sz w:val="20"/>
          <w:u w:val="single"/>
        </w:rPr>
        <w:t>Successors and Assigns</w:t>
      </w:r>
      <w:r>
        <w:rPr>
          <w:rFonts w:ascii="Times New Roman;serif" w:hAnsi="Times New Roman;serif"/>
          <w:b w:val="false"/>
          <w:color w:val="000000"/>
          <w:sz w:val="20"/>
        </w:rPr>
        <w:t>. The rights and benefits of this Agreement shall inure to the benefit of and be enforceable by the Company’s successors and assigns. The rights and obligations of Participant under this Agreement may only be assigned with the prior written consent of the Company.</w:t>
      </w:r>
    </w:p>
    <w:p>
      <w:pPr>
        <w:pStyle w:val="TextBody"/>
        <w:bidi w:val="0"/>
        <w:spacing w:lineRule="auto" w:line="240" w:before="0" w:after="240"/>
        <w:ind w:left="0" w:right="0" w:firstLine="1440"/>
        <w:jc w:val="both"/>
        <w:rPr/>
      </w:pPr>
      <w:r>
        <w:rPr>
          <w:rFonts w:ascii="Times New Roman;serif" w:hAnsi="Times New Roman;serif"/>
          <w:b w:val="false"/>
          <w:color w:val="000000"/>
          <w:sz w:val="24"/>
        </w:rPr>
        <w:t>(k)</w:t>
      </w:r>
      <w:r>
        <w:rPr>
          <w:rFonts w:ascii="Times New Roman;serif" w:hAnsi="Times New Roman;serif"/>
          <w:b/>
          <w:color w:val="000000"/>
          <w:sz w:val="20"/>
          <w:u w:val="single"/>
        </w:rPr>
        <w:t>Electronic Delivery</w:t>
      </w:r>
      <w:r>
        <w:rPr>
          <w:rFonts w:ascii="Times New Roman;serif" w:hAnsi="Times New Roman;serif"/>
          <w:b w:val="false"/>
          <w:color w:val="000000"/>
          <w:sz w:val="20"/>
        </w:rPr>
        <w:t>. The Company may, in its sole discretion, decide to deliver to Participant by email or any other electronic means any documents, elections or notices related to this Agreement, the RSUs, the Shares allocated to the RSUs, Participant’s current or future participation in the Plan, securities of the Company or any member of the Company Group or any other matter, including documents, elections and/or notices required to be delivered to Participant by applicable securities law or any other Applicable Laws or the Company’s Amended Certificate of Incorporation or Bylaws. By accepting this Agreement, whether electronically or otherwise, Participant hereby consents to receive such documents and notices by such electronic delivery and agrees to participate in the Plan through an on-line or electronic system established and maintained by the Company or a third party designated by the Company, including but not limited to the use of electronic signatures or click-through electronic acceptance of terms and conditions.</w:t>
      </w:r>
    </w:p>
    <w:p>
      <w:pPr>
        <w:pStyle w:val="TextBody"/>
        <w:bidi w:val="0"/>
        <w:spacing w:before="0" w:after="1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351155"/>
                <wp:effectExtent l="0" t="0" r="0" b="0"/>
                <wp:wrapNone/>
                <wp:docPr id="149" name="Frame147"/>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60"/>
        <w:ind w:left="0" w:right="0" w:firstLine="720"/>
        <w:jc w:val="center"/>
        <w:rPr>
          <w:rFonts w:ascii="Times New Roman;serif" w:hAnsi="Times New Roman;serif"/>
          <w:b/>
          <w:color w:val="000000"/>
          <w:sz w:val="20"/>
        </w:rPr>
      </w:pPr>
      <w:r>
        <w:rPr>
          <w:rFonts w:ascii="Times New Roman;serif" w:hAnsi="Times New Roman;serif"/>
          <w:b/>
          <w:color w:val="000000"/>
          <w:sz w:val="20"/>
        </w:rPr>
        <w:t xml:space="preserve">PERFORMANCE MEMORANDUM </w:t>
      </w:r>
    </w:p>
    <w:p>
      <w:pPr>
        <w:pStyle w:val="TextBody"/>
        <w:bidi w:val="0"/>
        <w:spacing w:lineRule="auto" w:line="288" w:before="0" w:after="60"/>
        <w:ind w:left="0" w:right="0" w:firstLine="720"/>
        <w:jc w:val="center"/>
        <w:rPr>
          <w:rFonts w:ascii="Times New Roman;serif" w:hAnsi="Times New Roman;serif"/>
          <w:b/>
          <w:color w:val="000000"/>
          <w:sz w:val="20"/>
        </w:rPr>
      </w:pPr>
      <w:r>
        <w:rPr>
          <w:rFonts w:ascii="Times New Roman;serif" w:hAnsi="Times New Roman;serif"/>
          <w:b/>
          <w:color w:val="000000"/>
          <w:sz w:val="20"/>
        </w:rPr>
        <w:t>ACCOMPANYING</w:t>
      </w:r>
    </w:p>
    <w:p>
      <w:pPr>
        <w:pStyle w:val="TextBody"/>
        <w:bidi w:val="0"/>
        <w:spacing w:lineRule="auto" w:line="288" w:before="0" w:after="60"/>
        <w:ind w:left="0" w:right="0" w:firstLine="720"/>
        <w:jc w:val="center"/>
        <w:rPr>
          <w:rFonts w:ascii="Times New Roman;serif" w:hAnsi="Times New Roman;serif"/>
          <w:b/>
          <w:color w:val="000000"/>
          <w:sz w:val="20"/>
        </w:rPr>
      </w:pPr>
      <w:r>
        <w:rPr>
          <w:rFonts w:ascii="Times New Roman;serif" w:hAnsi="Times New Roman;serif"/>
          <w:b/>
          <w:color w:val="000000"/>
          <w:sz w:val="20"/>
        </w:rPr>
        <w:t>RESTRICTED STOCK UNITS AGREEMENT</w:t>
      </w:r>
    </w:p>
    <w:p>
      <w:pPr>
        <w:pStyle w:val="TextBody"/>
        <w:bidi w:val="0"/>
        <w:spacing w:before="0" w:after="0"/>
        <w:ind w:left="0" w:right="0" w:firstLine="720"/>
        <w:jc w:val="center"/>
        <w:rPr/>
      </w:pPr>
      <w:r>
        <w:rPr/>
      </w:r>
    </w:p>
    <w:p>
      <w:pPr>
        <w:pStyle w:val="TextBody"/>
        <w:bidi w:val="0"/>
        <w:spacing w:lineRule="auto" w:line="288" w:before="0" w:after="240"/>
        <w:ind w:left="0" w:right="0" w:firstLine="720"/>
        <w:jc w:val="center"/>
        <w:rPr/>
      </w:pPr>
      <w:r>
        <w:rPr>
          <w:rFonts w:ascii="Times New Roman;serif" w:hAnsi="Times New Roman;serif"/>
          <w:b w:val="false"/>
          <w:color w:val="000000"/>
          <w:sz w:val="22"/>
        </w:rPr>
        <w:t>(a)</w:t>
      </w:r>
      <w:r>
        <w:rPr>
          <w:rFonts w:ascii="Times New Roman;serif" w:hAnsi="Times New Roman;serif"/>
          <w:b/>
          <w:color w:val="000000"/>
          <w:sz w:val="20"/>
        </w:rPr>
        <w:t>PERFORMANCE MODIFIER FOR RSU AWARD</w:t>
      </w:r>
    </w:p>
    <w:p>
      <w:pPr>
        <w:pStyle w:val="TextBody"/>
        <w:bidi w:val="0"/>
        <w:spacing w:lineRule="auto" w:line="288" w:before="0" w:after="240"/>
        <w:jc w:val="left"/>
        <w:rPr/>
      </w:pPr>
      <w:r>
        <w:rPr>
          <w:rFonts w:ascii="Times New Roman;serif" w:hAnsi="Times New Roman;serif"/>
          <w:b/>
          <w:color w:val="000000"/>
          <w:sz w:val="20"/>
        </w:rPr>
        <w:t xml:space="preserve">Date of Grant: </w:t>
      </w:r>
      <w:r>
        <w:rPr>
          <w:rFonts w:ascii="Times New Roman;serif" w:hAnsi="Times New Roman;serif"/>
          <w:b w:val="false"/>
          <w:color w:val="000000"/>
          <w:sz w:val="20"/>
        </w:rPr>
        <w:t>__________</w:t>
      </w:r>
    </w:p>
    <w:p>
      <w:pPr>
        <w:pStyle w:val="TextBody"/>
        <w:bidi w:val="0"/>
        <w:spacing w:lineRule="auto" w:line="288" w:before="0" w:after="240"/>
        <w:jc w:val="both"/>
        <w:rPr/>
      </w:pPr>
      <w:r>
        <w:rPr>
          <w:rFonts w:ascii="Times New Roman;serif" w:hAnsi="Times New Roman;serif"/>
          <w:b w:val="false"/>
          <w:color w:val="000000"/>
          <w:sz w:val="20"/>
        </w:rPr>
        <w:t>This Performance Memorandum (the “</w:t>
      </w:r>
      <w:r>
        <w:rPr>
          <w:rFonts w:ascii="Times New Roman;serif" w:hAnsi="Times New Roman;serif"/>
          <w:b w:val="false"/>
          <w:color w:val="000000"/>
          <w:sz w:val="20"/>
          <w:u w:val="single"/>
        </w:rPr>
        <w:t>Performance Memo</w:t>
      </w:r>
      <w:r>
        <w:rPr>
          <w:color w:val="000000"/>
        </w:rPr>
        <w:t>”</w:t>
      </w:r>
      <w:r>
        <w:rPr>
          <w:rFonts w:ascii="Times New Roman;serif" w:hAnsi="Times New Roman;serif"/>
          <w:b w:val="false"/>
          <w:color w:val="000000"/>
          <w:sz w:val="20"/>
        </w:rPr>
        <w:t>) applies to the Target RSUs granted to the Participant on the Date of Grant and applies with respect to the Restricted Stock Unit Agreement (the “</w:t>
      </w:r>
      <w:r>
        <w:rPr>
          <w:rFonts w:ascii="Times New Roman;serif" w:hAnsi="Times New Roman;serif"/>
          <w:b w:val="false"/>
          <w:color w:val="000000"/>
          <w:sz w:val="20"/>
          <w:u w:val="single"/>
        </w:rPr>
        <w:t>RSU Agreement</w:t>
      </w:r>
      <w:r>
        <w:rPr>
          <w:color w:val="000000"/>
        </w:rPr>
        <w:t>”</w:t>
      </w:r>
      <w:r>
        <w:rPr>
          <w:rFonts w:ascii="Times New Roman;serif" w:hAnsi="Times New Roman;serif"/>
          <w:b w:val="false"/>
          <w:color w:val="000000"/>
          <w:sz w:val="20"/>
        </w:rPr>
        <w:t>) and the Restricted Stock Unit Grant Notice between the Company and the Participant (the “</w:t>
      </w:r>
      <w:r>
        <w:rPr>
          <w:rFonts w:ascii="Times New Roman;serif" w:hAnsi="Times New Roman;serif"/>
          <w:b w:val="false"/>
          <w:color w:val="000000"/>
          <w:sz w:val="20"/>
          <w:u w:val="single"/>
        </w:rPr>
        <w:t>Grant Notice</w:t>
      </w:r>
      <w:r>
        <w:rPr>
          <w:color w:val="000000"/>
        </w:rPr>
        <w:t>”</w:t>
      </w:r>
      <w:r>
        <w:rPr>
          <w:rFonts w:ascii="Times New Roman;serif" w:hAnsi="Times New Roman;serif"/>
          <w:b w:val="false"/>
          <w:color w:val="000000"/>
          <w:sz w:val="20"/>
        </w:rPr>
        <w:t>). Capitalized terms used in this Performance Memo that are not specifically defined in this Performance Memo have the meanings assigned to them in the RSU Agreement, the Grant Notice or in the Plan, as applicable.</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The actual number of RSUs that become vested will be determined by the Committee using actual performance results under the rules described below. Any RSUs not vested will be canceled and forfeited. </w:t>
      </w:r>
    </w:p>
    <w:p>
      <w:pPr>
        <w:pStyle w:val="TextBody"/>
        <w:bidi w:val="0"/>
        <w:spacing w:lineRule="auto" w:line="240" w:before="24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w:t>
      </w:r>
    </w:p>
    <w:p>
      <w:pPr>
        <w:pStyle w:val="TextBody"/>
        <w:bidi w:val="0"/>
        <w:spacing w:lineRule="auto" w:line="240" w:before="0" w:after="240"/>
        <w:ind w:left="0" w:right="0" w:hanging="720"/>
        <w:jc w:val="both"/>
        <w:rPr/>
      </w:pPr>
      <w:r>
        <w:rPr>
          <w:rFonts w:ascii="Times New Roman;serif" w:hAnsi="Times New Roman;serif"/>
          <w:b w:val="false"/>
          <w:color w:val="000000"/>
          <w:sz w:val="22"/>
        </w:rPr>
        <w:t>(a)</w:t>
      </w:r>
      <w:r>
        <w:rPr>
          <w:rFonts w:ascii="Times New Roman;serif" w:hAnsi="Times New Roman;serif"/>
          <w:b w:val="false"/>
          <w:color w:val="000000"/>
          <w:sz w:val="20"/>
          <w:u w:val="single"/>
        </w:rPr>
        <w:t>Normal Vesting, Section 5 of the Grant Notice</w:t>
      </w:r>
      <w:r>
        <w:rPr>
          <w:rFonts w:ascii="Times New Roman;serif" w:hAnsi="Times New Roman;serif"/>
          <w:b w:val="false"/>
          <w:color w:val="000000"/>
          <w:sz w:val="20"/>
        </w:rPr>
        <w:t xml:space="preserve">. The total number of RSUs that will vest on each of the Vesting Dates pursuant to Section 5 of the Grant Notice will be equal to the portion of the Target RSUs that will vest on an applicable Vesting Date multiplied by the Performance Modifier, as determined in Section 3 of this Performance Memo. </w:t>
      </w:r>
    </w:p>
    <w:p>
      <w:pPr>
        <w:pStyle w:val="TextBody"/>
        <w:bidi w:val="0"/>
        <w:spacing w:lineRule="auto" w:line="240" w:before="0" w:after="240"/>
        <w:ind w:left="0" w:right="0" w:hanging="720"/>
        <w:jc w:val="both"/>
        <w:rPr/>
      </w:pPr>
      <w:r>
        <w:rPr>
          <w:rFonts w:ascii="Times New Roman;serif" w:hAnsi="Times New Roman;serif"/>
          <w:b w:val="false"/>
          <w:color w:val="000000"/>
          <w:sz w:val="22"/>
        </w:rPr>
        <w:t>(b)</w:t>
      </w:r>
      <w:r>
        <w:rPr>
          <w:rFonts w:ascii="Times New Roman;serif" w:hAnsi="Times New Roman;serif"/>
          <w:b w:val="false"/>
          <w:color w:val="000000"/>
          <w:sz w:val="20"/>
          <w:u w:val="single"/>
        </w:rPr>
        <w:t>Alternative Vesting Events, Section 7 of the Grant Notice</w:t>
      </w:r>
      <w:r>
        <w:rPr>
          <w:rFonts w:ascii="Times New Roman;serif" w:hAnsi="Times New Roman;serif"/>
          <w:b w:val="false"/>
          <w:color w:val="000000"/>
          <w:sz w:val="20"/>
        </w:rPr>
        <w:t xml:space="preserve">. The total number of RSUs that will vest as of the date of Participant’s termination of Continuous Service Status by reason of an event designated under Section 7 of the Grant Notice shall be equal to the portion of the Target RSUs that will vest on such date pursuant to the applicable provision of Section 7 of the Grant Notice, multiplied by the Performance Modifier as determined in Section 3 of this Performance Memo, provided, that, for purposes of this Section 1(b) of this Performance Memo, the determination under Section 3 of the Performance Memo, including the definitions of Stock Price CAGR and Vesting Date Price, will be determined as if the date of Participant’s termination of Continuous Service Status is the Vesting Date. </w:t>
      </w:r>
    </w:p>
    <w:p>
      <w:pPr>
        <w:pStyle w:val="TextBody"/>
        <w:bidi w:val="0"/>
        <w:spacing w:lineRule="auto" w:line="240" w:before="0" w:after="240"/>
        <w:ind w:left="0" w:right="0" w:hanging="720"/>
        <w:jc w:val="both"/>
        <w:rPr/>
      </w:pPr>
      <w:r>
        <w:rPr>
          <w:rFonts w:ascii="Times New Roman;serif" w:hAnsi="Times New Roman;serif"/>
          <w:b w:val="false"/>
          <w:color w:val="000000"/>
          <w:sz w:val="22"/>
        </w:rPr>
        <w:t>(c)</w:t>
      </w:r>
      <w:r>
        <w:rPr>
          <w:rFonts w:ascii="Times New Roman;serif" w:hAnsi="Times New Roman;serif"/>
          <w:b w:val="false"/>
          <w:color w:val="000000"/>
          <w:sz w:val="20"/>
          <w:u w:val="single"/>
        </w:rPr>
        <w:t>Change in Control, Section 8 of the Grant Notice</w:t>
      </w:r>
      <w:r>
        <w:rPr>
          <w:rFonts w:ascii="Times New Roman;serif" w:hAnsi="Times New Roman;serif"/>
          <w:b w:val="false"/>
          <w:color w:val="000000"/>
          <w:sz w:val="20"/>
        </w:rPr>
        <w:t>. If a Change in Control occurs prior to the final Vesting Date, the Performance Modifier shall be determined as of the date of such Change in Control in accordance with Section 3 of this Performance Memo with the following modifications for purposes of this Section 1(c): (1) the determination under Section 3 of the Performance Memo will be determined as if the date of the Change in Control is the Vesting Date, (2) except as provided in the following clause (3), the Vesting Date Price will be equal to the per share transaction price or consideration that is being received by shareholders of Common Stock or the Company in the Change in Control transaction, and (3) in the case of a Change in Control with no transaction price or consideration, the Vesting Date Price will be equal to the average closing price of a Share of Common Stock measured during the 60-day period that ends on the day prior to the date of the Change in Control (the “</w:t>
      </w:r>
      <w:r>
        <w:rPr>
          <w:rFonts w:ascii="Times New Roman;serif" w:hAnsi="Times New Roman;serif"/>
          <w:b w:val="false"/>
          <w:color w:val="000000"/>
          <w:sz w:val="20"/>
          <w:u w:val="single"/>
        </w:rPr>
        <w:t>CIC Modifier</w:t>
      </w:r>
      <w:r>
        <w:rPr>
          <w:color w:val="000000"/>
        </w:rPr>
        <w:t>”</w:t>
      </w:r>
      <w:r>
        <w:rPr>
          <w:rFonts w:ascii="Times New Roman;serif" w:hAnsi="Times New Roman;serif"/>
          <w:b w:val="false"/>
          <w:color w:val="000000"/>
          <w:sz w:val="20"/>
        </w:rPr>
        <w:t xml:space="preserve">).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purposes of determining the dollar value of the per share consideration being received by shareholders of Common Stock or the Company under this Section 1(c), in the case of a Change in Control transaction where the consideration includes Acquiror stock that is publicly traded on an establish stock exchange, the value of the Acquiror’s stock will be determined using the 7-day volume-weighted average price of Acquiror’s stock ending on the day prior to the Change in Control, unless determined otherwise by the Committee as constituted immediately prior to the Change in Control.</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75260"/>
                <wp:effectExtent l="0" t="0" r="0" b="0"/>
                <wp:wrapNone/>
                <wp:docPr id="150" name="Frame1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If, following a Change in Control, the unvested portion of the RSUs is not assumed or substituted by Acquiror, or continued by the Company, in connection with such Change in Control, the total number of RSUs that will vest on the closing of such Change in Control will be equal to the unvested portion of the RSUs that will vest on the closing of the Change in Control pursuant to the Section 8 of the Grant Notice, multiplied by the CIC Modifier.</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In the event that, in connection with a Change in Control, the Acquiror does assume or substitute, or the Company continues, the unvested portion of the RSUs, (1) the Performance Modifier used for all Vesting Dates and all alternative vesting events under Section 7 of the Grant Notice following the Change in Control shall be the CIC Modifier, and (2) if Participant’s Continuous Service Status is terminated by such Acquiror or the Company without Cause </w:t>
      </w:r>
      <w:r>
        <w:rPr>
          <w:rFonts w:ascii="Times New Roman;serif" w:hAnsi="Times New Roman;serif"/>
          <w:b/>
          <w:color w:val="000000"/>
          <w:sz w:val="20"/>
        </w:rPr>
        <w:t>[or by Participant for Good Reason, in each case,]</w:t>
      </w:r>
      <w:r>
        <w:rPr>
          <w:color w:val="000000"/>
        </w:rPr>
        <w:t xml:space="preserve"> </w:t>
      </w:r>
      <w:r>
        <w:rPr>
          <w:rFonts w:ascii="Times New Roman;serif" w:hAnsi="Times New Roman;serif"/>
          <w:b w:val="false"/>
          <w:color w:val="000000"/>
          <w:sz w:val="20"/>
        </w:rPr>
        <w:t>within the 12-month period immediately following the Change in Control, the total number of RSUs that will vest as of the date of Participant’s termination of Continuous Service Status will be equal to the unvested portion of the RSUs multiplied by the CIC Modifier.</w:t>
      </w:r>
    </w:p>
    <w:p>
      <w:pPr>
        <w:pStyle w:val="TextBody"/>
        <w:bidi w:val="0"/>
        <w:spacing w:lineRule="auto" w:line="240" w:before="240" w:after="240"/>
        <w:ind w:left="0" w:right="0" w:hanging="360"/>
        <w:jc w:val="both"/>
        <w:rPr/>
      </w:pPr>
      <w:r>
        <w:rPr>
          <w:rFonts w:ascii="Times New Roman;serif" w:hAnsi="Times New Roman;serif"/>
          <w:b w:val="false"/>
          <w:color w:val="000000"/>
          <w:sz w:val="22"/>
        </w:rPr>
        <w:t>2.</w:t>
      </w:r>
      <w:r>
        <w:rPr>
          <w:rFonts w:ascii="Times New Roman;serif" w:hAnsi="Times New Roman;serif"/>
          <w:b w:val="false"/>
          <w:color w:val="000000"/>
          <w:sz w:val="20"/>
          <w:u w:val="single"/>
        </w:rPr>
        <w:t>Definitions</w:t>
      </w:r>
      <w:r>
        <w:rPr>
          <w:rFonts w:ascii="Times New Roman;serif" w:hAnsi="Times New Roman;serif"/>
          <w:b w:val="false"/>
          <w:color w:val="000000"/>
          <w:sz w:val="20"/>
        </w:rPr>
        <w:t>. For purposes of this Performance Memo:</w:t>
      </w:r>
    </w:p>
    <w:p>
      <w:pPr>
        <w:pStyle w:val="TextBody"/>
        <w:bidi w:val="0"/>
        <w:spacing w:lineRule="auto" w:line="288" w:before="0" w:after="240"/>
        <w:ind w:left="0" w:right="0" w:hanging="720"/>
        <w:jc w:val="both"/>
        <w:rPr/>
      </w:pPr>
      <w:r>
        <w:rPr>
          <w:rFonts w:ascii="Times New Roman;serif" w:hAnsi="Times New Roman;serif"/>
          <w:b w:val="false"/>
          <w:color w:val="000000"/>
          <w:sz w:val="20"/>
        </w:rPr>
        <w:t>(a)    “</w:t>
      </w:r>
      <w:r>
        <w:rPr>
          <w:rFonts w:ascii="Times New Roman;serif" w:hAnsi="Times New Roman;serif"/>
          <w:b w:val="false"/>
          <w:color w:val="000000"/>
          <w:sz w:val="20"/>
          <w:u w:val="single"/>
        </w:rPr>
        <w:t>Grant Date Price</w:t>
      </w:r>
      <w:r>
        <w:rPr>
          <w:color w:val="000000"/>
        </w:rPr>
        <w:t xml:space="preserve">” </w:t>
      </w:r>
      <w:r>
        <w:rPr>
          <w:rFonts w:ascii="Times New Roman;serif" w:hAnsi="Times New Roman;serif"/>
          <w:b w:val="false"/>
          <w:color w:val="000000"/>
          <w:sz w:val="20"/>
        </w:rPr>
        <w:t>means the average closing price of a Share of Common Stock measured during the 60-day period that ends on the day prior to the Date of Grant.</w:t>
      </w:r>
    </w:p>
    <w:p>
      <w:pPr>
        <w:pStyle w:val="TextBody"/>
        <w:bidi w:val="0"/>
        <w:spacing w:lineRule="auto" w:line="288" w:before="0" w:after="240"/>
        <w:ind w:left="0" w:right="0" w:hanging="720"/>
        <w:jc w:val="both"/>
        <w:rPr/>
      </w:pPr>
      <w:r>
        <w:rPr>
          <w:rFonts w:ascii="Times New Roman;serif" w:hAnsi="Times New Roman;serif"/>
          <w:b w:val="false"/>
          <w:color w:val="000000"/>
          <w:sz w:val="20"/>
        </w:rPr>
        <w:t>(b)    “</w:t>
      </w:r>
      <w:r>
        <w:rPr>
          <w:rFonts w:ascii="Times New Roman;serif" w:hAnsi="Times New Roman;serif"/>
          <w:b w:val="false"/>
          <w:color w:val="000000"/>
          <w:sz w:val="20"/>
          <w:u w:val="single"/>
        </w:rPr>
        <w:t>Stock Price CAGR</w:t>
      </w:r>
      <w:r>
        <w:rPr>
          <w:color w:val="000000"/>
        </w:rPr>
        <w:t xml:space="preserve">” </w:t>
      </w:r>
      <w:r>
        <w:rPr>
          <w:rFonts w:ascii="Times New Roman;serif" w:hAnsi="Times New Roman;serif"/>
          <w:b w:val="false"/>
          <w:color w:val="000000"/>
          <w:sz w:val="20"/>
        </w:rPr>
        <w:t>means, with respect to the portion of RSUs eligible to become vested on a particular Vesting Date, the compound annual growth rate of the Company’s Common Stock measured by comparing the Grant Date Price to the Vesting Date Price applicable to such RSUs. The Stock Price CAGR as of each applicable Vesting Date will be determined by the Committee in its sole discretion.</w:t>
      </w:r>
    </w:p>
    <w:p>
      <w:pPr>
        <w:pStyle w:val="TextBody"/>
        <w:bidi w:val="0"/>
        <w:spacing w:lineRule="auto" w:line="288" w:before="0" w:after="240"/>
        <w:ind w:left="0" w:right="0" w:hanging="720"/>
        <w:jc w:val="both"/>
        <w:rPr/>
      </w:pPr>
      <w:r>
        <w:rPr>
          <w:rFonts w:ascii="Times New Roman;serif" w:hAnsi="Times New Roman;serif"/>
          <w:b w:val="false"/>
          <w:color w:val="000000"/>
          <w:sz w:val="20"/>
        </w:rPr>
        <w:t>(c)    “</w:t>
      </w:r>
      <w:r>
        <w:rPr>
          <w:rFonts w:ascii="Times New Roman;serif" w:hAnsi="Times New Roman;serif"/>
          <w:b w:val="false"/>
          <w:color w:val="000000"/>
          <w:sz w:val="20"/>
          <w:u w:val="single"/>
        </w:rPr>
        <w:t>Vesting Date Price</w:t>
      </w:r>
      <w:r>
        <w:rPr>
          <w:color w:val="000000"/>
        </w:rPr>
        <w:t xml:space="preserve">” </w:t>
      </w:r>
      <w:r>
        <w:rPr>
          <w:rFonts w:ascii="Times New Roman;serif" w:hAnsi="Times New Roman;serif"/>
          <w:b w:val="false"/>
          <w:color w:val="000000"/>
          <w:sz w:val="20"/>
        </w:rPr>
        <w:t xml:space="preserve">means, with respect to the portion of RSUs eligible to become vested on a particular Vesting Date, the average closing price of a Share of Common Stock measured during the 60-day period that ends on the day prior to the Vesting Date applicable to such RSUs. </w:t>
      </w:r>
    </w:p>
    <w:p>
      <w:pPr>
        <w:pStyle w:val="TextBody"/>
        <w:bidi w:val="0"/>
        <w:spacing w:lineRule="auto" w:line="240" w:before="240" w:after="240"/>
        <w:ind w:left="0" w:right="0" w:hanging="360"/>
        <w:jc w:val="both"/>
        <w:rPr/>
      </w:pPr>
      <w:r>
        <w:rPr>
          <w:rFonts w:ascii="Times New Roman;serif" w:hAnsi="Times New Roman;serif"/>
          <w:b w:val="false"/>
          <w:color w:val="000000"/>
          <w:sz w:val="22"/>
        </w:rPr>
        <w:t>3.</w:t>
      </w:r>
      <w:r>
        <w:rPr>
          <w:rFonts w:ascii="Times New Roman;serif" w:hAnsi="Times New Roman;serif"/>
          <w:b w:val="false"/>
          <w:color w:val="000000"/>
          <w:sz w:val="20"/>
          <w:u w:val="single"/>
        </w:rPr>
        <w:t>Performance Modifier Matrix</w:t>
      </w:r>
      <w:r>
        <w:rPr>
          <w:rFonts w:ascii="Times New Roman;serif" w:hAnsi="Times New Roman;serif"/>
          <w:b w:val="false"/>
          <w:color w:val="000000"/>
          <w:sz w:val="20"/>
        </w:rPr>
        <w:t>. As of each Vesting Date, the number of Target RSUs that are eligible to become vested on such Vesting Date will be multiplied by the Performance Modifier specified in the matrix below based on the Stock Price CAGR achieved as of the applicable Vesting Date:</w:t>
      </w:r>
    </w:p>
    <w:tbl>
      <w:tblPr>
        <w:tblW w:w="4349" w:type="dxa"/>
        <w:jc w:val="left"/>
        <w:tblInd w:w="0" w:type="dxa"/>
        <w:tblLayout w:type="fixed"/>
        <w:tblCellMar>
          <w:top w:w="28" w:type="dxa"/>
          <w:left w:w="28" w:type="dxa"/>
          <w:bottom w:w="28" w:type="dxa"/>
          <w:right w:w="28" w:type="dxa"/>
        </w:tblCellMar>
      </w:tblPr>
      <w:tblGrid>
        <w:gridCol w:w="761"/>
        <w:gridCol w:w="668"/>
        <w:gridCol w:w="671"/>
        <w:gridCol w:w="658"/>
        <w:gridCol w:w="658"/>
        <w:gridCol w:w="933"/>
      </w:tblGrid>
      <w:tr>
        <w:trPr/>
        <w:tc>
          <w:tcPr>
            <w:tcW w:w="761"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If Stock Price CAGR %</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Is</w:t>
            </w:r>
          </w:p>
        </w:tc>
        <w:tc>
          <w:tcPr>
            <w:tcW w:w="2249"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00" w:before="0" w:after="160"/>
              <w:jc w:val="center"/>
              <w:rPr>
                <w:rFonts w:ascii="Times New Roman;serif" w:hAnsi="Times New Roman;serif"/>
                <w:b/>
                <w:color w:val="000000"/>
                <w:sz w:val="20"/>
              </w:rPr>
            </w:pPr>
            <w:r>
              <w:rPr>
                <w:rFonts w:ascii="Times New Roman;serif" w:hAnsi="Times New Roman;serif"/>
                <w:b/>
                <w:color w:val="000000"/>
                <w:sz w:val="20"/>
              </w:rPr>
              <w:t>Performance Modifier Is</w:t>
            </w:r>
          </w:p>
        </w:tc>
      </w:tr>
      <w:tr>
        <w:trPr/>
        <w:tc>
          <w:tcPr>
            <w:tcW w:w="2100"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249"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249"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249"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249"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2249"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40"/>
        <w:jc w:val="both"/>
        <w:rPr/>
      </w:pPr>
      <w:r>
        <w:rPr>
          <w:rFonts w:ascii="Times New Roman;serif" w:hAnsi="Times New Roman;serif"/>
          <w:b w:val="false"/>
          <w:color w:val="000000"/>
          <w:sz w:val="22"/>
        </w:rPr>
        <w:t>4.</w:t>
      </w:r>
      <w:r>
        <w:rPr>
          <w:rFonts w:ascii="Times New Roman;serif" w:hAnsi="Times New Roman;serif"/>
          <w:b w:val="false"/>
          <w:color w:val="000000"/>
          <w:sz w:val="20"/>
        </w:rPr>
        <w:t>For the avoidance of doubt, in no event will the Performance Modifier be greater than _____.</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10.44</w:t>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351155"/>
                <wp:effectExtent l="0" t="0" r="0" b="0"/>
                <wp:wrapNone/>
                <wp:docPr id="151" name="Frame149"/>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414.2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SOTERA HEALTH COMPANY</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2020 OMNIBUS INCENTIVE PLAN</w:t>
      </w:r>
    </w:p>
    <w:p>
      <w:pPr>
        <w:pStyle w:val="TextBody"/>
        <w:bidi w:val="0"/>
        <w:spacing w:lineRule="auto" w:line="288" w:before="240" w:after="240"/>
        <w:jc w:val="center"/>
        <w:rPr>
          <w:rFonts w:ascii="Times New Roman;serif" w:hAnsi="Times New Roman;serif"/>
          <w:b/>
          <w:color w:val="000000"/>
          <w:sz w:val="20"/>
          <w:u w:val="single"/>
        </w:rPr>
      </w:pPr>
      <w:r>
        <w:rPr>
          <w:rFonts w:ascii="Times New Roman;serif" w:hAnsi="Times New Roman;serif"/>
          <w:b/>
          <w:color w:val="000000"/>
          <w:sz w:val="20"/>
          <w:u w:val="single"/>
        </w:rPr>
        <w:t>RESTRICTED STOCK UNIT GRANT NOTICE</w:t>
      </w:r>
    </w:p>
    <w:p>
      <w:pPr>
        <w:pStyle w:val="TextBody"/>
        <w:bidi w:val="0"/>
        <w:spacing w:lineRule="auto" w:line="288" w:before="0" w:after="240"/>
        <w:ind w:left="0" w:right="0" w:firstLine="720"/>
        <w:jc w:val="both"/>
        <w:rPr/>
      </w:pPr>
      <w:r>
        <w:rPr>
          <w:rFonts w:ascii="Times New Roman;serif" w:hAnsi="Times New Roman;serif"/>
          <w:b w:val="false"/>
          <w:color w:val="000000"/>
          <w:sz w:val="20"/>
        </w:rPr>
        <w:t>Sotera Health Company, a Delaware corporation (the “</w:t>
      </w:r>
      <w:r>
        <w:rPr>
          <w:rFonts w:ascii="Times New Roman;serif" w:hAnsi="Times New Roman;serif"/>
          <w:b w:val="false"/>
          <w:color w:val="000000"/>
          <w:sz w:val="20"/>
          <w:u w:val="single"/>
        </w:rPr>
        <w:t>Company</w:t>
      </w:r>
      <w:r>
        <w:rPr>
          <w:color w:val="000000"/>
        </w:rPr>
        <w:t>”</w:t>
      </w:r>
      <w:r>
        <w:rPr>
          <w:rFonts w:ascii="Times New Roman;serif" w:hAnsi="Times New Roman;serif"/>
          <w:b w:val="false"/>
          <w:color w:val="000000"/>
          <w:sz w:val="20"/>
        </w:rPr>
        <w:t>), pursuant to the Sotera Health Company 2020 Omnibus Incentive Plan and any applicable sub-plan for a particular country, as applicable (together, the “</w:t>
      </w:r>
      <w:r>
        <w:rPr>
          <w:rFonts w:ascii="Times New Roman;serif" w:hAnsi="Times New Roman;serif"/>
          <w:b w:val="false"/>
          <w:color w:val="000000"/>
          <w:sz w:val="20"/>
          <w:u w:val="single"/>
        </w:rPr>
        <w:t>Plan</w:t>
      </w:r>
      <w:r>
        <w:rPr>
          <w:color w:val="000000"/>
        </w:rPr>
        <w:t>”</w:t>
      </w:r>
      <w:r>
        <w:rPr>
          <w:rFonts w:ascii="Times New Roman;serif" w:hAnsi="Times New Roman;serif"/>
          <w:b w:val="false"/>
          <w:color w:val="000000"/>
          <w:sz w:val="20"/>
        </w:rPr>
        <w:t>), has granted to the participant set forth below (the “</w:t>
      </w:r>
      <w:r>
        <w:rPr>
          <w:rFonts w:ascii="Times New Roman;serif" w:hAnsi="Times New Roman;serif"/>
          <w:b w:val="false"/>
          <w:color w:val="000000"/>
          <w:sz w:val="20"/>
          <w:u w:val="single"/>
        </w:rPr>
        <w:t>Participant</w:t>
      </w:r>
      <w:r>
        <w:rPr>
          <w:color w:val="000000"/>
        </w:rPr>
        <w:t>”</w:t>
      </w:r>
      <w:r>
        <w:rPr>
          <w:rFonts w:ascii="Times New Roman;serif" w:hAnsi="Times New Roman;serif"/>
          <w:b w:val="false"/>
          <w:color w:val="000000"/>
          <w:sz w:val="20"/>
        </w:rPr>
        <w:t>), as of the date set forth below (the “</w:t>
      </w:r>
      <w:r>
        <w:rPr>
          <w:rFonts w:ascii="Times New Roman;serif" w:hAnsi="Times New Roman;serif"/>
          <w:b w:val="false"/>
          <w:color w:val="000000"/>
          <w:sz w:val="20"/>
          <w:u w:val="single"/>
        </w:rPr>
        <w:t>Date of Grant</w:t>
      </w:r>
      <w:r>
        <w:rPr>
          <w:color w:val="000000"/>
        </w:rPr>
        <w:t>”</w:t>
      </w:r>
      <w:r>
        <w:rPr>
          <w:rFonts w:ascii="Times New Roman;serif" w:hAnsi="Times New Roman;serif"/>
          <w:b w:val="false"/>
          <w:color w:val="000000"/>
          <w:sz w:val="20"/>
        </w:rPr>
        <w:t>), a Restricted Stock Unit award covering the number of units set forth below, each of which represents one Share of the Company’s Common Stock (the “</w:t>
      </w:r>
      <w:r>
        <w:rPr>
          <w:rFonts w:ascii="Times New Roman;serif" w:hAnsi="Times New Roman;serif"/>
          <w:b w:val="false"/>
          <w:color w:val="000000"/>
          <w:sz w:val="20"/>
          <w:u w:val="single"/>
        </w:rPr>
        <w:t>RSUs</w:t>
      </w:r>
      <w:r>
        <w:rPr>
          <w:color w:val="000000"/>
        </w:rPr>
        <w:t>”</w:t>
      </w:r>
      <w:r>
        <w:rPr>
          <w:rFonts w:ascii="Times New Roman;serif" w:hAnsi="Times New Roman;serif"/>
          <w:b w:val="false"/>
          <w:color w:val="000000"/>
          <w:sz w:val="20"/>
        </w:rPr>
        <w:t>). The RSUs are subject to all of the terms and conditions set forth in this Restricted Stock Unit Grant Notice (the “</w:t>
      </w:r>
      <w:r>
        <w:rPr>
          <w:rFonts w:ascii="Times New Roman;serif" w:hAnsi="Times New Roman;serif"/>
          <w:b w:val="false"/>
          <w:color w:val="000000"/>
          <w:sz w:val="20"/>
          <w:u w:val="single"/>
        </w:rPr>
        <w:t>Grant Notice</w:t>
      </w:r>
      <w:r>
        <w:rPr>
          <w:color w:val="000000"/>
        </w:rPr>
        <w:t>”</w:t>
      </w:r>
      <w:r>
        <w:rPr>
          <w:rFonts w:ascii="Times New Roman;serif" w:hAnsi="Times New Roman;serif"/>
          <w:b w:val="false"/>
          <w:color w:val="000000"/>
          <w:sz w:val="20"/>
        </w:rPr>
        <w:t>), the Restricted Stock Unit Agreement (the “</w:t>
      </w:r>
      <w:r>
        <w:rPr>
          <w:rFonts w:ascii="Times New Roman;serif" w:hAnsi="Times New Roman;serif"/>
          <w:b w:val="false"/>
          <w:color w:val="000000"/>
          <w:sz w:val="20"/>
          <w:u w:val="single"/>
        </w:rPr>
        <w:t>RSU Agreement</w:t>
      </w:r>
      <w:r>
        <w:rPr>
          <w:color w:val="000000"/>
        </w:rPr>
        <w:t>”</w:t>
      </w:r>
      <w:r>
        <w:rPr>
          <w:rFonts w:ascii="Times New Roman;serif" w:hAnsi="Times New Roman;serif"/>
          <w:b w:val="false"/>
          <w:color w:val="000000"/>
          <w:sz w:val="20"/>
        </w:rPr>
        <w:t>), and the Plan, each of which are being provided to you with this Grant Notice and incorporated herein in their entirety. Capitalized terms not explicitly defined in this Grant Notice but defined in the Plan or the RSU Agreement will have the same definitions as in the Plan or the RSU Agreement. In the event of any conflict between the terms of the Grant Notice and the Plan, the terms of the Plan will control.</w:t>
      </w:r>
    </w:p>
    <w:tbl>
      <w:tblPr>
        <w:tblW w:w="10205" w:type="dxa"/>
        <w:jc w:val="left"/>
        <w:tblInd w:w="0" w:type="dxa"/>
        <w:tblLayout w:type="fixed"/>
        <w:tblCellMar>
          <w:top w:w="28" w:type="dxa"/>
          <w:left w:w="28" w:type="dxa"/>
          <w:bottom w:w="28" w:type="dxa"/>
          <w:right w:w="28" w:type="dxa"/>
        </w:tblCellMar>
      </w:tblPr>
      <w:tblGrid>
        <w:gridCol w:w="745"/>
        <w:gridCol w:w="656"/>
        <w:gridCol w:w="625"/>
        <w:gridCol w:w="2395"/>
        <w:gridCol w:w="2395"/>
        <w:gridCol w:w="3389"/>
      </w:tblGrid>
      <w:tr>
        <w:trPr/>
        <w:tc>
          <w:tcPr>
            <w:tcW w:w="745"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2395" w:type="dxa"/>
            <w:tcBorders/>
            <w:vAlign w:val="center"/>
          </w:tcPr>
          <w:p>
            <w:pPr>
              <w:pStyle w:val="TableContents"/>
              <w:bidi w:val="0"/>
              <w:spacing w:before="0" w:after="283"/>
              <w:jc w:val="left"/>
              <w:rPr>
                <w:sz w:val="4"/>
                <w:szCs w:val="4"/>
              </w:rPr>
            </w:pPr>
            <w:r>
              <w:rPr>
                <w:sz w:val="4"/>
                <w:szCs w:val="4"/>
              </w:rPr>
            </w:r>
          </w:p>
        </w:tc>
        <w:tc>
          <w:tcPr>
            <w:tcW w:w="2395" w:type="dxa"/>
            <w:tcBorders/>
            <w:vAlign w:val="center"/>
          </w:tcPr>
          <w:p>
            <w:pPr>
              <w:pStyle w:val="TableContents"/>
              <w:bidi w:val="0"/>
              <w:spacing w:before="0" w:after="283"/>
              <w:jc w:val="left"/>
              <w:rPr>
                <w:sz w:val="4"/>
                <w:szCs w:val="4"/>
              </w:rPr>
            </w:pPr>
            <w:r>
              <w:rPr>
                <w:sz w:val="4"/>
                <w:szCs w:val="4"/>
              </w:rPr>
            </w:r>
          </w:p>
        </w:tc>
        <w:tc>
          <w:tcPr>
            <w:tcW w:w="3389" w:type="dxa"/>
            <w:tcBorders/>
            <w:vAlign w:val="center"/>
          </w:tcPr>
          <w:p>
            <w:pPr>
              <w:pStyle w:val="TableContents"/>
              <w:bidi w:val="0"/>
              <w:spacing w:before="0" w:after="283"/>
              <w:jc w:val="left"/>
              <w:rPr>
                <w:sz w:val="4"/>
                <w:szCs w:val="4"/>
              </w:rPr>
            </w:pPr>
            <w:r>
              <w:rPr>
                <w:sz w:val="4"/>
                <w:szCs w:val="4"/>
              </w:rPr>
            </w:r>
          </w:p>
        </w:tc>
      </w:tr>
      <w:tr>
        <w:trPr/>
        <w:tc>
          <w:tcPr>
            <w:tcW w:w="2026"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color w:val="000000"/>
                <w:sz w:val="20"/>
              </w:rPr>
            </w:pPr>
            <w:r>
              <w:rPr>
                <w:rFonts w:ascii="Times New Roman;serif" w:hAnsi="Times New Roman;serif"/>
                <w:b/>
                <w:color w:val="000000"/>
                <w:sz w:val="20"/>
              </w:rPr>
              <w:t>1. Participant:</w:t>
            </w:r>
          </w:p>
        </w:tc>
        <w:tc>
          <w:tcPr>
            <w:tcW w:w="8179"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20"/>
              </w:rPr>
            </w:pPr>
            <w:r>
              <w:rPr>
                <w:rFonts w:ascii="Times New Roman;serif" w:hAnsi="Times New Roman;serif"/>
                <w:b w:val="false"/>
                <w:color w:val="000000"/>
                <w:sz w:val="20"/>
              </w:rPr>
              <w:t>__________</w:t>
            </w:r>
          </w:p>
        </w:tc>
      </w:tr>
      <w:tr>
        <w:trPr/>
        <w:tc>
          <w:tcPr>
            <w:tcW w:w="2026"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color w:val="000000"/>
                <w:sz w:val="20"/>
              </w:rPr>
            </w:pPr>
            <w:r>
              <w:rPr>
                <w:rFonts w:ascii="Times New Roman;serif" w:hAnsi="Times New Roman;serif"/>
                <w:b/>
                <w:color w:val="000000"/>
                <w:sz w:val="20"/>
              </w:rPr>
              <w:t>2. Date of Grant:</w:t>
            </w:r>
          </w:p>
        </w:tc>
        <w:tc>
          <w:tcPr>
            <w:tcW w:w="8179"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20"/>
              </w:rPr>
            </w:pPr>
            <w:r>
              <w:rPr>
                <w:rFonts w:ascii="Times New Roman;serif" w:hAnsi="Times New Roman;serif"/>
                <w:b w:val="false"/>
                <w:color w:val="000000"/>
                <w:sz w:val="20"/>
              </w:rPr>
              <w:t>__________</w:t>
            </w:r>
          </w:p>
        </w:tc>
      </w:tr>
      <w:tr>
        <w:trPr/>
        <w:tc>
          <w:tcPr>
            <w:tcW w:w="2026" w:type="dxa"/>
            <w:gridSpan w:val="3"/>
            <w:tcBorders/>
            <w:tcMar>
              <w:top w:w="0" w:type="dxa"/>
              <w:left w:w="0" w:type="dxa"/>
              <w:bottom w:w="0" w:type="dxa"/>
              <w:right w:w="0" w:type="dxa"/>
            </w:tcMar>
            <w:vAlign w:val="center"/>
          </w:tcPr>
          <w:p>
            <w:pPr>
              <w:pStyle w:val="TableContents"/>
              <w:bidi w:val="0"/>
              <w:spacing w:lineRule="auto" w:line="288" w:before="0" w:after="0"/>
              <w:ind w:left="0" w:right="0" w:hanging="4320"/>
              <w:jc w:val="left"/>
              <w:rPr>
                <w:rFonts w:ascii="Times New Roman;serif" w:hAnsi="Times New Roman;serif"/>
                <w:b/>
                <w:color w:val="000000"/>
                <w:sz w:val="20"/>
              </w:rPr>
            </w:pPr>
            <w:r>
              <w:rPr>
                <w:rFonts w:ascii="Times New Roman;serif" w:hAnsi="Times New Roman;serif"/>
                <w:b/>
                <w:color w:val="000000"/>
                <w:sz w:val="20"/>
              </w:rPr>
              <w:t xml:space="preserve">3. Vesting Commencement </w:t>
            </w:r>
          </w:p>
          <w:p>
            <w:pPr>
              <w:pStyle w:val="TableContents"/>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(the “Vesting Commencement Date”):</w:t>
            </w:r>
          </w:p>
        </w:tc>
        <w:tc>
          <w:tcPr>
            <w:tcW w:w="8179"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20"/>
              </w:rPr>
            </w:pPr>
            <w:r>
              <w:rPr>
                <w:rFonts w:ascii="Times New Roman;serif" w:hAnsi="Times New Roman;serif"/>
                <w:b w:val="false"/>
                <w:color w:val="000000"/>
                <w:sz w:val="20"/>
              </w:rPr>
              <w:t>__________</w:t>
            </w:r>
          </w:p>
        </w:tc>
      </w:tr>
      <w:tr>
        <w:trPr/>
        <w:tc>
          <w:tcPr>
            <w:tcW w:w="2026" w:type="dxa"/>
            <w:gridSpan w:val="3"/>
            <w:tcBorders/>
            <w:tcMar>
              <w:top w:w="0" w:type="dxa"/>
              <w:left w:w="0" w:type="dxa"/>
              <w:bottom w:w="0" w:type="dxa"/>
              <w:right w:w="0" w:type="dxa"/>
            </w:tcMar>
            <w:vAlign w:val="center"/>
          </w:tcPr>
          <w:p>
            <w:pPr>
              <w:pStyle w:val="TableContents"/>
              <w:bidi w:val="0"/>
              <w:spacing w:lineRule="auto" w:line="288" w:before="0" w:after="240"/>
              <w:jc w:val="left"/>
              <w:rPr/>
            </w:pPr>
            <w:r>
              <w:rPr>
                <w:rFonts w:ascii="Times New Roman;serif" w:hAnsi="Times New Roman;serif"/>
                <w:b/>
                <w:color w:val="000000"/>
                <w:sz w:val="20"/>
              </w:rPr>
              <w:t>4. Number of RSUs (“</w:t>
            </w:r>
            <w:r>
              <w:rPr>
                <w:rFonts w:ascii="Times New Roman;serif" w:hAnsi="Times New Roman;serif"/>
                <w:b/>
                <w:color w:val="000000"/>
                <w:sz w:val="20"/>
                <w:u w:val="single"/>
              </w:rPr>
              <w:t>Target</w:t>
            </w:r>
            <w:r>
              <w:rPr>
                <w:color w:val="000000"/>
              </w:rPr>
              <w:t>”</w:t>
            </w:r>
            <w:r>
              <w:rPr>
                <w:rFonts w:ascii="Times New Roman;serif" w:hAnsi="Times New Roman;serif"/>
                <w:b/>
                <w:color w:val="000000"/>
                <w:sz w:val="20"/>
              </w:rPr>
              <w:t>):</w:t>
            </w:r>
          </w:p>
        </w:tc>
        <w:tc>
          <w:tcPr>
            <w:tcW w:w="8179"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20"/>
              </w:rPr>
            </w:pPr>
            <w:r>
              <w:rPr>
                <w:rFonts w:ascii="Times New Roman;serif" w:hAnsi="Times New Roman;serif"/>
                <w:b w:val="false"/>
                <w:color w:val="000000"/>
                <w:sz w:val="20"/>
              </w:rPr>
              <w:t>__________</w:t>
            </w:r>
          </w:p>
        </w:tc>
      </w:tr>
      <w:tr>
        <w:trPr/>
        <w:tc>
          <w:tcPr>
            <w:tcW w:w="2026"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color w:val="000000"/>
                <w:sz w:val="20"/>
              </w:rPr>
            </w:pPr>
            <w:r>
              <w:rPr>
                <w:rFonts w:ascii="Times New Roman;serif" w:hAnsi="Times New Roman;serif"/>
                <w:b/>
                <w:color w:val="000000"/>
                <w:sz w:val="20"/>
              </w:rPr>
              <w:t>5. Normal Vesting Schedule:</w:t>
            </w:r>
          </w:p>
        </w:tc>
        <w:tc>
          <w:tcPr>
            <w:tcW w:w="8179" w:type="dxa"/>
            <w:gridSpan w:val="3"/>
            <w:tcBorders/>
            <w:tcMar>
              <w:top w:w="0" w:type="dxa"/>
              <w:left w:w="0" w:type="dxa"/>
              <w:bottom w:w="0" w:type="dxa"/>
              <w:right w:w="0" w:type="dxa"/>
            </w:tcMar>
            <w:vAlign w:val="center"/>
          </w:tcPr>
          <w:p>
            <w:pPr>
              <w:pStyle w:val="TableContents"/>
              <w:bidi w:val="0"/>
              <w:spacing w:lineRule="auto" w:line="288" w:before="0" w:after="240"/>
              <w:jc w:val="both"/>
              <w:rPr/>
            </w:pPr>
            <w:r>
              <w:rPr>
                <w:rFonts w:ascii="Times New Roman;serif" w:hAnsi="Times New Roman;serif"/>
                <w:b w:val="false"/>
                <w:color w:val="000000"/>
                <w:sz w:val="20"/>
              </w:rPr>
              <w:t>Except as provided below, 50% of the Target number of RSUs shall vest on each of the first and second anniversaries of the Vesting Commencement Date (each such anniversary date, a “</w:t>
            </w:r>
            <w:r>
              <w:rPr>
                <w:rFonts w:ascii="Times New Roman;serif" w:hAnsi="Times New Roman;serif"/>
                <w:b w:val="false"/>
                <w:color w:val="000000"/>
                <w:sz w:val="20"/>
                <w:u w:val="single"/>
              </w:rPr>
              <w:t>Vesting Date</w:t>
            </w:r>
            <w:r>
              <w:rPr>
                <w:color w:val="000000"/>
              </w:rPr>
              <w:t>”</w:t>
            </w:r>
            <w:r>
              <w:rPr>
                <w:rFonts w:ascii="Times New Roman;serif" w:hAnsi="Times New Roman;serif"/>
                <w:b w:val="false"/>
                <w:color w:val="000000"/>
                <w:sz w:val="20"/>
              </w:rPr>
              <w:t>), subject to the Participant’s Continuous Service Status not being terminated prior to each such Vesting Date, except as provided below.</w:t>
            </w:r>
          </w:p>
        </w:tc>
      </w:tr>
      <w:tr>
        <w:trPr/>
        <w:tc>
          <w:tcPr>
            <w:tcW w:w="2026"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color w:val="000000"/>
                <w:sz w:val="20"/>
              </w:rPr>
            </w:pPr>
            <w:r>
              <w:rPr>
                <w:rFonts w:ascii="Times New Roman;serif" w:hAnsi="Times New Roman;serif"/>
                <w:b/>
                <w:color w:val="000000"/>
                <w:sz w:val="20"/>
              </w:rPr>
              <w:t>6. Termination of Continuous Service Status:</w:t>
            </w:r>
          </w:p>
        </w:tc>
        <w:tc>
          <w:tcPr>
            <w:tcW w:w="8179"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20"/>
              </w:rPr>
            </w:pPr>
            <w:r>
              <w:rPr>
                <w:rFonts w:ascii="Times New Roman;serif" w:hAnsi="Times New Roman;serif"/>
                <w:b w:val="false"/>
                <w:color w:val="000000"/>
                <w:sz w:val="20"/>
              </w:rPr>
              <w:t>Subject to Sections 7 and 8 of this Grant Notice, in the event that Participant’s Continuous Service Status is terminated, the provisions of Section 7(b)(iv) of the Plan shall apply to the RSUs.</w:t>
            </w:r>
          </w:p>
        </w:tc>
      </w:tr>
      <w:tr>
        <w:trPr/>
        <w:tc>
          <w:tcPr>
            <w:tcW w:w="2026"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color w:val="000000"/>
                <w:sz w:val="20"/>
              </w:rPr>
            </w:pPr>
            <w:r>
              <w:rPr>
                <w:rFonts w:ascii="Times New Roman;serif" w:hAnsi="Times New Roman;serif"/>
                <w:b/>
                <w:color w:val="000000"/>
                <w:sz w:val="20"/>
              </w:rPr>
              <w:t>7. Alternative Vesting Schedule:</w:t>
            </w:r>
          </w:p>
        </w:tc>
        <w:tc>
          <w:tcPr>
            <w:tcW w:w="8179" w:type="dxa"/>
            <w:gridSpan w:val="3"/>
            <w:tcBorders/>
            <w:tcMar>
              <w:top w:w="0" w:type="dxa"/>
              <w:left w:w="0" w:type="dxa"/>
              <w:bottom w:w="0" w:type="dxa"/>
              <w:right w:w="0" w:type="dxa"/>
            </w:tcMar>
            <w:vAlign w:val="center"/>
          </w:tcPr>
          <w:p>
            <w:pPr>
              <w:pStyle w:val="TableContents"/>
              <w:bidi w:val="0"/>
              <w:spacing w:lineRule="auto" w:line="288" w:before="0" w:after="240"/>
              <w:ind w:left="0" w:right="0" w:hanging="346"/>
              <w:jc w:val="both"/>
              <w:rPr/>
            </w:pPr>
            <w:r>
              <w:rPr>
                <w:rFonts w:ascii="Times New Roman;serif" w:hAnsi="Times New Roman;serif"/>
                <w:b w:val="false"/>
                <w:color w:val="000000"/>
                <w:sz w:val="20"/>
              </w:rPr>
              <w:t>(a)</w:t>
            </w:r>
            <w:r>
              <w:rPr>
                <w:rFonts w:ascii="Times New Roman;serif" w:hAnsi="Times New Roman;serif"/>
                <w:b w:val="false"/>
                <w:i/>
                <w:color w:val="000000"/>
                <w:sz w:val="20"/>
              </w:rPr>
              <w:t>Death and Disability</w:t>
            </w:r>
            <w:r>
              <w:rPr>
                <w:rFonts w:ascii="Times New Roman;serif" w:hAnsi="Times New Roman;serif"/>
                <w:b w:val="false"/>
                <w:color w:val="000000"/>
                <w:sz w:val="20"/>
              </w:rPr>
              <w:t>. If Participant’s Continuous Service Status is terminated by reason of Participant’s death or Disability before the final Vesting Date, all outstanding unvested RSUs that would have vested had Participant maintained Continuous Service Status during the 2-year period immediately following the date of such termination will vest as of the date of such termination.</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175260"/>
                <wp:effectExtent l="0" t="0" r="0" b="0"/>
                <wp:wrapNone/>
                <wp:docPr id="152" name="Frame1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74"/>
        <w:gridCol w:w="327"/>
        <w:gridCol w:w="330"/>
        <w:gridCol w:w="2686"/>
        <w:gridCol w:w="2686"/>
        <w:gridCol w:w="3802"/>
      </w:tblGrid>
      <w:tr>
        <w:trPr/>
        <w:tc>
          <w:tcPr>
            <w:tcW w:w="374"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2686" w:type="dxa"/>
            <w:tcBorders/>
            <w:vAlign w:val="center"/>
          </w:tcPr>
          <w:p>
            <w:pPr>
              <w:pStyle w:val="TableContents"/>
              <w:bidi w:val="0"/>
              <w:spacing w:before="0" w:after="283"/>
              <w:jc w:val="left"/>
              <w:rPr>
                <w:sz w:val="4"/>
                <w:szCs w:val="4"/>
              </w:rPr>
            </w:pPr>
            <w:r>
              <w:rPr>
                <w:sz w:val="4"/>
                <w:szCs w:val="4"/>
              </w:rPr>
            </w:r>
          </w:p>
        </w:tc>
        <w:tc>
          <w:tcPr>
            <w:tcW w:w="2686"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1031"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color w:val="000000"/>
                <w:sz w:val="20"/>
              </w:rPr>
            </w:pPr>
            <w:r>
              <w:rPr>
                <w:rFonts w:ascii="Times New Roman;serif" w:hAnsi="Times New Roman;serif"/>
                <w:b/>
                <w:color w:val="000000"/>
                <w:sz w:val="20"/>
              </w:rPr>
              <w:t>8. Change in Control:</w:t>
            </w:r>
          </w:p>
        </w:tc>
        <w:tc>
          <w:tcPr>
            <w:tcW w:w="9174" w:type="dxa"/>
            <w:gridSpan w:val="3"/>
            <w:tcBorders/>
            <w:tcMar>
              <w:top w:w="0" w:type="dxa"/>
              <w:left w:w="0" w:type="dxa"/>
              <w:bottom w:w="0" w:type="dxa"/>
              <w:right w:w="0" w:type="dxa"/>
            </w:tcMar>
            <w:vAlign w:val="center"/>
          </w:tcPr>
          <w:p>
            <w:pPr>
              <w:pStyle w:val="TableContents"/>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If, at any time before the final Vesting Date, and while the Participant maintains their Continuous Service Status, a Change in Control occurs and the unvested portion of the RSUs is not assumed or substituted by Acquiror, or continued by the Company, in connection with a Change in Control, such unvested portion of the RSUs shall vest as of the closing of such Change in Control.</w:t>
            </w:r>
          </w:p>
          <w:p>
            <w:pPr>
              <w:pStyle w:val="TableContents"/>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 the event that in connection with a Change in Control, the Acquiror does assume or substitute, or the Company continues, the unvested portion of the RSUs, and Participant’s Continuous Service Status is terminated by such Acquiror or the Company without Cause within the 12-month period immediately following the Change in Control, the unvested portion of the RSUs shall vest as of the date of Participant’s termination.</w:t>
            </w:r>
          </w:p>
          <w:p>
            <w:pPr>
              <w:pStyle w:val="TableContents"/>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 addition, if an Acquiror so assumes or substitutes, or the Company so continues, the unvested portion of the RSUs, notwithstanding any provision to the contrary, any outstanding RSUs which at the time of the Change in Control are not subject to a “substantial risk of forfeiture” (within the meaning of Section 409A of the Code) will be deemed to be vested at the time of such Change in Control and will be settled in accordance with Section 9 of this Grant Notice.</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351155"/>
                <wp:effectExtent l="0" t="0" r="0" b="0"/>
                <wp:wrapNone/>
                <wp:docPr id="153" name="Frame151"/>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69"/>
        <w:gridCol w:w="325"/>
        <w:gridCol w:w="327"/>
        <w:gridCol w:w="2690"/>
        <w:gridCol w:w="2690"/>
        <w:gridCol w:w="3804"/>
      </w:tblGrid>
      <w:tr>
        <w:trPr/>
        <w:tc>
          <w:tcPr>
            <w:tcW w:w="36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2690" w:type="dxa"/>
            <w:tcBorders/>
            <w:vAlign w:val="center"/>
          </w:tcPr>
          <w:p>
            <w:pPr>
              <w:pStyle w:val="TableContents"/>
              <w:bidi w:val="0"/>
              <w:spacing w:before="0" w:after="283"/>
              <w:jc w:val="left"/>
              <w:rPr>
                <w:sz w:val="4"/>
                <w:szCs w:val="4"/>
              </w:rPr>
            </w:pPr>
            <w:r>
              <w:rPr>
                <w:sz w:val="4"/>
                <w:szCs w:val="4"/>
              </w:rPr>
            </w:r>
          </w:p>
        </w:tc>
        <w:tc>
          <w:tcPr>
            <w:tcW w:w="2690" w:type="dxa"/>
            <w:tcBorders/>
            <w:vAlign w:val="center"/>
          </w:tcPr>
          <w:p>
            <w:pPr>
              <w:pStyle w:val="TableContents"/>
              <w:bidi w:val="0"/>
              <w:spacing w:before="0" w:after="283"/>
              <w:jc w:val="left"/>
              <w:rPr>
                <w:sz w:val="4"/>
                <w:szCs w:val="4"/>
              </w:rPr>
            </w:pPr>
            <w:r>
              <w:rPr>
                <w:sz w:val="4"/>
                <w:szCs w:val="4"/>
              </w:rPr>
            </w:r>
          </w:p>
        </w:tc>
        <w:tc>
          <w:tcPr>
            <w:tcW w:w="3804"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color w:val="000000"/>
                <w:sz w:val="20"/>
              </w:rPr>
            </w:pPr>
            <w:r>
              <w:rPr>
                <w:rFonts w:ascii="Times New Roman;serif" w:hAnsi="Times New Roman;serif"/>
                <w:b/>
                <w:color w:val="000000"/>
                <w:sz w:val="20"/>
              </w:rPr>
              <w:t>9. Issuance Schedule:</w:t>
            </w:r>
          </w:p>
        </w:tc>
        <w:tc>
          <w:tcPr>
            <w:tcW w:w="9184" w:type="dxa"/>
            <w:gridSpan w:val="3"/>
            <w:tcBorders/>
            <w:tcMar>
              <w:top w:w="0" w:type="dxa"/>
              <w:left w:w="0" w:type="dxa"/>
              <w:bottom w:w="0" w:type="dxa"/>
              <w:right w:w="0" w:type="dxa"/>
            </w:tcMar>
            <w:vAlign w:val="center"/>
          </w:tcPr>
          <w:p>
            <w:pPr>
              <w:pStyle w:val="TableContents"/>
              <w:bidi w:val="0"/>
              <w:spacing w:lineRule="auto" w:line="288" w:before="0" w:after="240"/>
              <w:ind w:left="0" w:right="0" w:hanging="427"/>
              <w:jc w:val="both"/>
              <w:rPr/>
            </w:pPr>
            <w:r>
              <w:rPr>
                <w:rFonts w:ascii="Times New Roman;serif" w:hAnsi="Times New Roman;serif"/>
                <w:b w:val="false"/>
                <w:color w:val="000000"/>
                <w:sz w:val="20"/>
              </w:rPr>
              <w:t xml:space="preserve">(a) </w:t>
            </w:r>
            <w:r>
              <w:rPr>
                <w:rFonts w:ascii="Times New Roman;serif" w:hAnsi="Times New Roman;serif"/>
                <w:b w:val="false"/>
                <w:i/>
                <w:color w:val="000000"/>
                <w:sz w:val="20"/>
              </w:rPr>
              <w:t>General.</w:t>
            </w:r>
            <w:r>
              <w:rPr>
                <w:color w:val="000000"/>
              </w:rPr>
              <w:t xml:space="preserve"> </w:t>
            </w:r>
            <w:r>
              <w:rPr>
                <w:rFonts w:ascii="Times New Roman;serif" w:hAnsi="Times New Roman;serif"/>
                <w:b w:val="false"/>
                <w:color w:val="000000"/>
                <w:sz w:val="20"/>
              </w:rPr>
              <w:t>Subject to Sections 6 and 9(b) of this Grant Notice and Section 2 of the RSU Agreement, following each Vesting Date the vested RSUs shall be settled in Shares within 30 days of the applicable Vesting Date.</w:t>
            </w:r>
          </w:p>
          <w:p>
            <w:pPr>
              <w:pStyle w:val="TableContents"/>
              <w:bidi w:val="0"/>
              <w:spacing w:lineRule="auto" w:line="288" w:before="0" w:after="240"/>
              <w:ind w:left="0" w:right="0" w:hanging="427"/>
              <w:jc w:val="both"/>
              <w:rPr/>
            </w:pPr>
            <w:r>
              <w:rPr>
                <w:rFonts w:ascii="Times New Roman;serif" w:hAnsi="Times New Roman;serif"/>
                <w:b w:val="false"/>
                <w:color w:val="000000"/>
                <w:sz w:val="20"/>
              </w:rPr>
              <w:t xml:space="preserve">(b) </w:t>
            </w:r>
            <w:r>
              <w:rPr>
                <w:rFonts w:ascii="Times New Roman;serif" w:hAnsi="Times New Roman;serif"/>
                <w:b w:val="false"/>
                <w:i/>
                <w:color w:val="000000"/>
                <w:sz w:val="20"/>
              </w:rPr>
              <w:t>Other Settlement Dates</w:t>
            </w:r>
            <w:r>
              <w:rPr>
                <w:rFonts w:ascii="Times New Roman;serif" w:hAnsi="Times New Roman;serif"/>
                <w:b w:val="false"/>
                <w:color w:val="000000"/>
                <w:sz w:val="20"/>
              </w:rPr>
              <w:t>. Notwithstanding Section 9(a), to the extent that the RSUs are vested on the dates set forth below, the vested RSUs shall be settled in Shares as follows:</w:t>
            </w:r>
          </w:p>
          <w:p>
            <w:pPr>
              <w:pStyle w:val="TableContents"/>
              <w:bidi w:val="0"/>
              <w:spacing w:lineRule="auto" w:line="288" w:before="0" w:after="240"/>
              <w:ind w:left="0" w:right="0" w:firstLine="450"/>
              <w:jc w:val="both"/>
              <w:rPr/>
            </w:pPr>
            <w:r>
              <w:rPr>
                <w:rFonts w:ascii="Times New Roman;serif" w:hAnsi="Times New Roman;serif"/>
                <w:b w:val="false"/>
                <w:color w:val="000000"/>
                <w:sz w:val="20"/>
              </w:rPr>
              <w:t>(i)    </w:t>
            </w:r>
            <w:r>
              <w:rPr>
                <w:rFonts w:ascii="Times New Roman;serif" w:hAnsi="Times New Roman;serif"/>
                <w:b w:val="false"/>
                <w:i/>
                <w:color w:val="000000"/>
                <w:sz w:val="20"/>
              </w:rPr>
              <w:t>Termination of Continuous Service Status or Death.</w:t>
            </w:r>
            <w:r>
              <w:rPr>
                <w:color w:val="000000"/>
              </w:rPr>
              <w:t xml:space="preserve"> </w:t>
            </w:r>
            <w:r>
              <w:rPr>
                <w:rFonts w:ascii="Times New Roman;serif" w:hAnsi="Times New Roman;serif"/>
                <w:b w:val="false"/>
                <w:color w:val="000000"/>
                <w:sz w:val="20"/>
              </w:rPr>
              <w:t>Within 30 days following the date of Participant’s termination of Continuous Service Status with the Company or death, any RSUs vested as of such termination or death shall be settled in Shares; provided, however, that if such termination of Continuous Service Status would not qualify as a “separation from service” as defined under Section 409A of the Code, and where Section 409A of the Code applies to such distribution, such vested RSUs shall be settled on the date that would have otherwise applied pursuant to Sections 9(a) or 9(b) of this Grant Notice.</w:t>
            </w:r>
          </w:p>
          <w:p>
            <w:pPr>
              <w:pStyle w:val="TableContents"/>
              <w:bidi w:val="0"/>
              <w:spacing w:lineRule="auto" w:line="288" w:before="0" w:after="240"/>
              <w:ind w:left="0" w:right="0" w:firstLine="450"/>
              <w:jc w:val="both"/>
              <w:rPr/>
            </w:pPr>
            <w:r>
              <w:rPr>
                <w:rFonts w:ascii="Times New Roman;serif" w:hAnsi="Times New Roman;serif"/>
                <w:b w:val="false"/>
                <w:color w:val="000000"/>
                <w:sz w:val="20"/>
              </w:rPr>
              <w:t>(ii)    </w:t>
            </w:r>
            <w:r>
              <w:rPr>
                <w:rFonts w:ascii="Times New Roman;serif" w:hAnsi="Times New Roman;serif"/>
                <w:b w:val="false"/>
                <w:i/>
                <w:color w:val="000000"/>
                <w:sz w:val="20"/>
              </w:rPr>
              <w:t>Change in Control.</w:t>
            </w:r>
            <w:r>
              <w:rPr>
                <w:color w:val="000000"/>
              </w:rPr>
              <w:t xml:space="preserve"> </w:t>
            </w:r>
            <w:r>
              <w:rPr>
                <w:rFonts w:ascii="Times New Roman;serif" w:hAnsi="Times New Roman;serif"/>
                <w:b w:val="false"/>
                <w:color w:val="000000"/>
                <w:sz w:val="20"/>
              </w:rPr>
              <w:t xml:space="preserve">Within 30 days following a Change in Control, any RSUs vested as of such Change in Control shall be settled in Shares; provided, however, that if such Change in Control would not qualify as a permissible date of distribution under Section 409A(a)(2)(A) of the Code, and the regulations thereunder, and where Section 409A of the Code applies to such distribution, such vested RSUs shall be settled on the date that would have otherwise applied pursuant to Sections 9(a) or 9(b) of this Grant Notice. </w:t>
            </w:r>
          </w:p>
          <w:p>
            <w:pPr>
              <w:pStyle w:val="TableContents"/>
              <w:bidi w:val="0"/>
              <w:spacing w:lineRule="auto" w:line="288" w:before="0" w:after="240"/>
              <w:ind w:left="0" w:right="0" w:hanging="337"/>
              <w:jc w:val="both"/>
              <w:rPr/>
            </w:pPr>
            <w:r>
              <w:rPr>
                <w:rFonts w:ascii="Times New Roman;serif" w:hAnsi="Times New Roman;serif"/>
                <w:b w:val="false"/>
                <w:color w:val="000000"/>
                <w:sz w:val="20"/>
              </w:rPr>
              <w:t xml:space="preserve">(c) </w:t>
            </w:r>
            <w:r>
              <w:rPr>
                <w:rFonts w:ascii="Times New Roman;serif" w:hAnsi="Times New Roman;serif"/>
                <w:b w:val="false"/>
                <w:i/>
                <w:color w:val="000000"/>
                <w:sz w:val="20"/>
              </w:rPr>
              <w:t>Accelerated Payment.</w:t>
            </w:r>
            <w:r>
              <w:rPr>
                <w:color w:val="000000"/>
              </w:rPr>
              <w:t xml:space="preserve"> </w:t>
            </w:r>
            <w:r>
              <w:rPr>
                <w:rFonts w:ascii="Times New Roman;serif" w:hAnsi="Times New Roman;serif"/>
                <w:b w:val="false"/>
                <w:color w:val="000000"/>
                <w:sz w:val="20"/>
              </w:rPr>
              <w:t>Notwithstanding anything stated in this Grant Notice, in the RSU Agreement, the Plan or any other agreement applicable to the RSUs, the Company shall have the discretion to settle the RSUs prior to the time set forth herein to the extent permitted by Treasury Regulation Section 1.409A-3(j)(4).</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351155"/>
                <wp:effectExtent l="0" t="0" r="0" b="0"/>
                <wp:wrapNone/>
                <wp:docPr id="154" name="Frame152"/>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515"/>
        <w:gridCol w:w="452"/>
        <w:gridCol w:w="454"/>
        <w:gridCol w:w="2572"/>
        <w:gridCol w:w="2572"/>
        <w:gridCol w:w="3640"/>
      </w:tblGrid>
      <w:tr>
        <w:trPr/>
        <w:tc>
          <w:tcPr>
            <w:tcW w:w="515"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2572" w:type="dxa"/>
            <w:tcBorders/>
            <w:vAlign w:val="center"/>
          </w:tcPr>
          <w:p>
            <w:pPr>
              <w:pStyle w:val="TableContents"/>
              <w:bidi w:val="0"/>
              <w:spacing w:before="0" w:after="283"/>
              <w:jc w:val="left"/>
              <w:rPr>
                <w:sz w:val="4"/>
                <w:szCs w:val="4"/>
              </w:rPr>
            </w:pPr>
            <w:r>
              <w:rPr>
                <w:sz w:val="4"/>
                <w:szCs w:val="4"/>
              </w:rPr>
            </w:r>
          </w:p>
        </w:tc>
        <w:tc>
          <w:tcPr>
            <w:tcW w:w="2572" w:type="dxa"/>
            <w:tcBorders/>
            <w:vAlign w:val="center"/>
          </w:tcPr>
          <w:p>
            <w:pPr>
              <w:pStyle w:val="TableContents"/>
              <w:bidi w:val="0"/>
              <w:spacing w:before="0" w:after="283"/>
              <w:jc w:val="left"/>
              <w:rPr>
                <w:sz w:val="4"/>
                <w:szCs w:val="4"/>
              </w:rPr>
            </w:pPr>
            <w:r>
              <w:rPr>
                <w:sz w:val="4"/>
                <w:szCs w:val="4"/>
              </w:rPr>
            </w:r>
          </w:p>
        </w:tc>
        <w:tc>
          <w:tcPr>
            <w:tcW w:w="3640" w:type="dxa"/>
            <w:tcBorders/>
            <w:vAlign w:val="center"/>
          </w:tcPr>
          <w:p>
            <w:pPr>
              <w:pStyle w:val="TableContents"/>
              <w:bidi w:val="0"/>
              <w:spacing w:before="0" w:after="283"/>
              <w:jc w:val="left"/>
              <w:rPr>
                <w:sz w:val="4"/>
                <w:szCs w:val="4"/>
              </w:rPr>
            </w:pPr>
            <w:r>
              <w:rPr>
                <w:sz w:val="4"/>
                <w:szCs w:val="4"/>
              </w:rPr>
            </w:r>
          </w:p>
        </w:tc>
      </w:tr>
      <w:tr>
        <w:trPr/>
        <w:tc>
          <w:tcPr>
            <w:tcW w:w="1421"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color w:val="000000"/>
                <w:sz w:val="20"/>
              </w:rPr>
            </w:pPr>
            <w:r>
              <w:rPr>
                <w:rFonts w:ascii="Times New Roman;serif" w:hAnsi="Times New Roman;serif"/>
                <w:b/>
                <w:color w:val="000000"/>
                <w:sz w:val="20"/>
              </w:rPr>
              <w:t>10. Tax Withholding Treatment:</w:t>
            </w:r>
          </w:p>
        </w:tc>
        <w:tc>
          <w:tcPr>
            <w:tcW w:w="8784" w:type="dxa"/>
            <w:gridSpan w:val="3"/>
            <w:tcBorders/>
            <w:tcMar>
              <w:top w:w="0" w:type="dxa"/>
              <w:left w:w="0" w:type="dxa"/>
              <w:bottom w:w="0" w:type="dxa"/>
              <w:right w:w="0" w:type="dxa"/>
            </w:tcMar>
            <w:vAlign w:val="center"/>
          </w:tcPr>
          <w:p>
            <w:pPr>
              <w:pStyle w:val="TableContents"/>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As a condition to acceptance of this award of RSUs, to the greatest extent permitted under the Plan and Applicable Laws, and absent any contrary determination by the Committee, any Tax Withholding Obligations will be satisfied by the Company withholding a number of the Shares issuable upon settlement determined in accordance with Section 3 of the RSU Agreement and making payments from its own funds to the appropriate taxing authorities in an amount equal to the Tax Withholding Obligations. Any Shares so withheld shall be credited against such withholding requirements at the fair market value of such shares on the date of such withholding.</w:t>
            </w:r>
          </w:p>
          <w:p>
            <w:pPr>
              <w:pStyle w:val="TableContents"/>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Notwithstanding the forgoing, if the Participant is not a Company officer or Board member that is subject to Section 16 of the Exchange Act, the Company may adopt (in its discretion, without further Committee approval) such other treatment or program for such Tax Withholding Obligations, including requiring cash payments or other forms of payment as permitted under Section 9 of the Plan (limited to maximum permitted amounts), all as consistent with Section 26 of the Plan.</w:t>
            </w:r>
          </w:p>
          <w:p>
            <w:pPr>
              <w:pStyle w:val="TableContents"/>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Company may also enter into any other arrangement with the Participant to satisfy Participant’s Tax Withholding Obligations in accordance with Section 3 of the RSU Agreement.</w:t>
            </w:r>
          </w:p>
        </w:tc>
      </w:tr>
    </w:tbl>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By signing this Grant Notice or otherwise accepting this grant, Participant hereby agrees to all of the following:</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This award of RSUs is granted under and governed by the terms and conditions of this Grant Notice, the Plan, the RSU Agreement (including any relevant Country-Specific Addendum), and any ancillary documents.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Participant acknowledges and agrees that Participant will incur and is responsible for satisfaction of the Tax Withholding Obligations in connection with this award of RSUs and that, unless otherwise directed by the Committee, the Company and/or the Employer will mandate arrangements with the Participant to satisfy such Tax Withholding Obligations in accordance with Section 3 of the RSU Agreement, including, but not limited to, the arrangements described herein.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Participant acknowledges and agrees that Participant has reviewed the Plan and the RSU Agreement in their entirety, has had an opportunity to obtain the advice of counsel prior to accepting the RSUs, and fully understands all provisions of the Plan, this Grant Notice and the RSU Agreement.</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Participant acknowledges and agrees that Participant has read the Company’s Insider Trading Policy, and agrees to comply with such policy, as it may be amended from time to time.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Participant agrees to accept as binding, conclusive and final all decisions or interpretations of the Administrator upon any questions relating to the Plan and RSU Agreement.</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tbl>
      <w:tblPr>
        <w:tblW w:w="1349" w:type="dxa"/>
        <w:jc w:val="left"/>
        <w:tblInd w:w="0" w:type="dxa"/>
        <w:tblLayout w:type="fixed"/>
        <w:tblCellMar>
          <w:top w:w="28" w:type="dxa"/>
          <w:left w:w="28" w:type="dxa"/>
          <w:bottom w:w="28" w:type="dxa"/>
          <w:right w:w="28" w:type="dxa"/>
        </w:tblCellMar>
      </w:tblPr>
      <w:tblGrid>
        <w:gridCol w:w="432"/>
        <w:gridCol w:w="378"/>
        <w:gridCol w:w="539"/>
      </w:tblGrid>
      <w:tr>
        <w:trPr/>
        <w:tc>
          <w:tcPr>
            <w:tcW w:w="432"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r>
      <w:tr>
        <w:trPr/>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Name</w:t>
            </w:r>
          </w:p>
        </w:tc>
      </w:tr>
      <w:tr>
        <w:trPr/>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Date Accepted</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351155"/>
                <wp:effectExtent l="0" t="0" r="0" b="0"/>
                <wp:wrapNone/>
                <wp:docPr id="155" name="Frame153"/>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0"/>
          <w:u w:val="single"/>
        </w:rPr>
      </w:pPr>
      <w:r>
        <w:rPr>
          <w:rFonts w:ascii="Times New Roman;serif" w:hAnsi="Times New Roman;serif"/>
          <w:b/>
          <w:color w:val="000000"/>
          <w:sz w:val="20"/>
          <w:u w:val="single"/>
        </w:rPr>
        <w:t>SOTERA HEALTH COMPANY</w:t>
        <w:br/>
        <w:br/>
        <w:t>2020 OMNIBUS INCENTIVE PLAN</w:t>
        <w:br/>
        <w:br/>
        <w:t>RESTRICTED STOCK UNIT AGREEMENT</w:t>
      </w:r>
    </w:p>
    <w:p>
      <w:pPr>
        <w:pStyle w:val="TextBody"/>
        <w:bidi w:val="0"/>
        <w:spacing w:lineRule="auto" w:line="288" w:before="0" w:after="240"/>
        <w:ind w:left="0" w:right="0" w:firstLine="720"/>
        <w:jc w:val="both"/>
        <w:rPr/>
      </w:pPr>
      <w:r>
        <w:rPr>
          <w:rFonts w:ascii="Times New Roman;serif" w:hAnsi="Times New Roman;serif"/>
          <w:b w:val="false"/>
          <w:color w:val="000000"/>
          <w:sz w:val="20"/>
        </w:rPr>
        <w:t>Pursuant to your Restricted Stock Unit Grant Notice (the “</w:t>
      </w:r>
      <w:r>
        <w:rPr>
          <w:rFonts w:ascii="Times New Roman;serif" w:hAnsi="Times New Roman;serif"/>
          <w:b w:val="false"/>
          <w:color w:val="000000"/>
          <w:sz w:val="20"/>
          <w:u w:val="single"/>
        </w:rPr>
        <w:t>Grant Notice</w:t>
      </w:r>
      <w:r>
        <w:rPr>
          <w:color w:val="000000"/>
        </w:rPr>
        <w:t>”</w:t>
      </w:r>
      <w:r>
        <w:rPr>
          <w:rFonts w:ascii="Times New Roman;serif" w:hAnsi="Times New Roman;serif"/>
          <w:b w:val="false"/>
          <w:color w:val="000000"/>
          <w:sz w:val="20"/>
        </w:rPr>
        <w:t>) and this Restricted Stock Unit Agreement (the “</w:t>
      </w:r>
      <w:r>
        <w:rPr>
          <w:rFonts w:ascii="Times New Roman;serif" w:hAnsi="Times New Roman;serif"/>
          <w:b w:val="false"/>
          <w:color w:val="000000"/>
          <w:sz w:val="20"/>
          <w:u w:val="single"/>
        </w:rPr>
        <w:t>Agreement</w:t>
      </w:r>
      <w:r>
        <w:rPr>
          <w:color w:val="000000"/>
        </w:rPr>
        <w:t>”</w:t>
      </w:r>
      <w:r>
        <w:rPr>
          <w:rFonts w:ascii="Times New Roman;serif" w:hAnsi="Times New Roman;serif"/>
          <w:b w:val="false"/>
          <w:color w:val="000000"/>
          <w:sz w:val="20"/>
        </w:rPr>
        <w:t>), Sotera Health Company, a Delaware corporation (the “</w:t>
      </w:r>
      <w:r>
        <w:rPr>
          <w:rFonts w:ascii="Times New Roman;serif" w:hAnsi="Times New Roman;serif"/>
          <w:b w:val="false"/>
          <w:color w:val="000000"/>
          <w:sz w:val="20"/>
          <w:u w:val="single"/>
        </w:rPr>
        <w:t>Company</w:t>
      </w:r>
      <w:r>
        <w:rPr>
          <w:color w:val="000000"/>
        </w:rPr>
        <w:t>”</w:t>
      </w:r>
      <w:r>
        <w:rPr>
          <w:rFonts w:ascii="Times New Roman;serif" w:hAnsi="Times New Roman;serif"/>
          <w:b w:val="false"/>
          <w:color w:val="000000"/>
          <w:sz w:val="20"/>
        </w:rPr>
        <w:t>), has granted you (the “</w:t>
      </w:r>
      <w:r>
        <w:rPr>
          <w:rFonts w:ascii="Times New Roman;serif" w:hAnsi="Times New Roman;serif"/>
          <w:b w:val="false"/>
          <w:color w:val="000000"/>
          <w:sz w:val="20"/>
          <w:u w:val="single"/>
        </w:rPr>
        <w:t>Participant</w:t>
      </w:r>
      <w:r>
        <w:rPr>
          <w:color w:val="000000"/>
        </w:rPr>
        <w:t>”</w:t>
      </w:r>
      <w:r>
        <w:rPr>
          <w:rFonts w:ascii="Times New Roman;serif" w:hAnsi="Times New Roman;serif"/>
          <w:b w:val="false"/>
          <w:color w:val="000000"/>
          <w:sz w:val="20"/>
        </w:rPr>
        <w:t>), as of the Date of Grant set forth in the Grant Notice, a Restricted Stock Unit award covering the number of units set forth in your Grant Notice, each of which represents one Share of the Company’s Common Stock (the “</w:t>
      </w:r>
      <w:r>
        <w:rPr>
          <w:rFonts w:ascii="Times New Roman;serif" w:hAnsi="Times New Roman;serif"/>
          <w:b w:val="false"/>
          <w:color w:val="000000"/>
          <w:sz w:val="20"/>
          <w:u w:val="single"/>
        </w:rPr>
        <w:t>RSUs</w:t>
      </w:r>
      <w:r>
        <w:rPr>
          <w:color w:val="000000"/>
        </w:rPr>
        <w:t>”</w:t>
      </w:r>
      <w:r>
        <w:rPr>
          <w:rFonts w:ascii="Times New Roman;serif" w:hAnsi="Times New Roman;serif"/>
          <w:b w:val="false"/>
          <w:color w:val="000000"/>
          <w:sz w:val="20"/>
        </w:rPr>
        <w:t>) pursuant to the Company’s 2020 Omnibus Incentive Plan and any applicable sub-plan for a particular country (together, the “</w:t>
      </w:r>
      <w:r>
        <w:rPr>
          <w:rFonts w:ascii="Times New Roman;serif" w:hAnsi="Times New Roman;serif"/>
          <w:b w:val="false"/>
          <w:color w:val="000000"/>
          <w:sz w:val="20"/>
          <w:u w:val="single"/>
        </w:rPr>
        <w:t>Plan</w:t>
      </w:r>
      <w:r>
        <w:rPr>
          <w:color w:val="000000"/>
        </w:rPr>
        <w:t>”</w:t>
      </w:r>
      <w:r>
        <w:rPr>
          <w:rFonts w:ascii="Times New Roman;serif" w:hAnsi="Times New Roman;serif"/>
          <w:b w:val="false"/>
          <w:color w:val="000000"/>
          <w:sz w:val="20"/>
        </w:rPr>
        <w:t>). Capitalized terms not explicitly defined in this Agreement but defined in the Plan or in the Grant Notice shall have the meaning ascribed to them in the Plan or in the Grant Notice. In the event of any conflict between the terms of this Agreement and the Plan, the terms of the Plan will control.</w:t>
      </w:r>
    </w:p>
    <w:p>
      <w:pPr>
        <w:pStyle w:val="TextBody"/>
        <w:bidi w:val="0"/>
        <w:spacing w:lineRule="auto" w:line="240" w:before="0" w:after="240"/>
        <w:ind w:left="0" w:right="0" w:firstLine="720"/>
        <w:jc w:val="both"/>
        <w:rPr/>
      </w:pPr>
      <w:r>
        <w:rPr>
          <w:rFonts w:ascii="Times New Roman;serif" w:hAnsi="Times New Roman;serif"/>
          <w:b w:val="false"/>
          <w:color w:val="000000"/>
          <w:sz w:val="24"/>
        </w:rPr>
        <w:t>1.</w:t>
      </w:r>
      <w:r>
        <w:rPr>
          <w:rFonts w:ascii="Times New Roman;serif" w:hAnsi="Times New Roman;serif"/>
          <w:b/>
          <w:color w:val="000000"/>
          <w:sz w:val="20"/>
          <w:u w:val="single"/>
        </w:rPr>
        <w:t>No Stockholder Rights</w:t>
      </w:r>
      <w:r>
        <w:rPr>
          <w:rFonts w:ascii="Times New Roman;serif" w:hAnsi="Times New Roman;serif"/>
          <w:b w:val="false"/>
          <w:color w:val="000000"/>
          <w:sz w:val="20"/>
        </w:rPr>
        <w:t>. Unless and until such time as Shares are issued pursuant to the Agreement in settlement of vested RSUs, Participant shall have no ownership of the Shares allocated to the RSUs, including, without limitation, no right to dividends (or dividend equivalents) or to vote such Shares.</w:t>
      </w:r>
    </w:p>
    <w:p>
      <w:pPr>
        <w:pStyle w:val="TextBody"/>
        <w:bidi w:val="0"/>
        <w:spacing w:lineRule="auto" w:line="240" w:before="0" w:after="240"/>
        <w:ind w:left="0" w:right="0" w:firstLine="720"/>
        <w:jc w:val="both"/>
        <w:rPr/>
      </w:pPr>
      <w:r>
        <w:rPr>
          <w:rFonts w:ascii="Times New Roman;serif" w:hAnsi="Times New Roman;serif"/>
          <w:b w:val="false"/>
          <w:color w:val="000000"/>
          <w:sz w:val="24"/>
        </w:rPr>
        <w:t>2.</w:t>
      </w:r>
      <w:r>
        <w:rPr>
          <w:rFonts w:ascii="Times New Roman;serif" w:hAnsi="Times New Roman;serif"/>
          <w:b/>
          <w:color w:val="000000"/>
          <w:sz w:val="20"/>
          <w:u w:val="single"/>
        </w:rPr>
        <w:t>Termination</w:t>
      </w:r>
      <w:r>
        <w:rPr>
          <w:rFonts w:ascii="Times New Roman;serif" w:hAnsi="Times New Roman;serif"/>
          <w:b w:val="false"/>
          <w:color w:val="000000"/>
          <w:sz w:val="20"/>
        </w:rPr>
        <w:t>. Except as otherwise provided in the Plan or Grant Notice, if Participant’s Continuous Service Status terminates at any time for any reason (including death or Disability), all RSUs for which vesting is no longer possible under the terms of the Grant Notice and this Agreement shall be forfeited to the Company on the date of such termination of Continuous Service Status, and all rights of Participant to such RSUs shall immediately terminate at such time. Subject to Applicable Law, in the event Participant’s Continuous Service Status is terminated by the Participant’s employer (together with the Participant’s former employer (if applicable), the “</w:t>
      </w:r>
      <w:r>
        <w:rPr>
          <w:rFonts w:ascii="Times New Roman;serif" w:hAnsi="Times New Roman;serif"/>
          <w:b w:val="false"/>
          <w:color w:val="000000"/>
          <w:sz w:val="20"/>
          <w:u w:val="single"/>
        </w:rPr>
        <w:t>Employer</w:t>
      </w:r>
      <w:r>
        <w:rPr>
          <w:color w:val="000000"/>
        </w:rPr>
        <w:t>”</w:t>
      </w:r>
      <w:r>
        <w:rPr>
          <w:rFonts w:ascii="Times New Roman;serif" w:hAnsi="Times New Roman;serif"/>
          <w:b w:val="false"/>
          <w:color w:val="000000"/>
          <w:sz w:val="20"/>
        </w:rPr>
        <w:t>) for Cause, then Participant’s vested but unsettled RSUs will also be forfeited upon the date of such termination, and Participant will have no further rights or interests with respect to such vested RSUs. Further, unless otherwise approved by the Company, Participant’s right to vest in the RSUs will terminate as of such date and will not be extended by any contractual notice period or any period of “garden leave” or similar notice period mandated under employment laws in the jurisdiction where Participant is employed or the terms of Participant’s employment agreement, if any. To the extent permitted by Section 409A of the Code, if Participant ceases to be an Employee but continues, or simultaneously commences, services as a Non-Employee Director, Participant shall be deemed to have had a termination of Continuous Service Status for purposes of this Agreement.</w:t>
      </w:r>
    </w:p>
    <w:p>
      <w:pPr>
        <w:pStyle w:val="TextBody"/>
        <w:bidi w:val="0"/>
        <w:spacing w:lineRule="auto" w:line="240" w:before="0" w:after="240"/>
        <w:ind w:left="0" w:right="0" w:firstLine="720"/>
        <w:jc w:val="both"/>
        <w:rPr/>
      </w:pPr>
      <w:r>
        <w:rPr>
          <w:rFonts w:ascii="Times New Roman;serif" w:hAnsi="Times New Roman;serif"/>
          <w:b w:val="false"/>
          <w:color w:val="000000"/>
          <w:sz w:val="24"/>
        </w:rPr>
        <w:t>3.</w:t>
      </w:r>
      <w:r>
        <w:rPr>
          <w:rFonts w:ascii="Times New Roman;serif" w:hAnsi="Times New Roman;serif"/>
          <w:b/>
          <w:color w:val="000000"/>
          <w:sz w:val="20"/>
          <w:u w:val="single"/>
        </w:rPr>
        <w:t>Responsibility for Taxes</w:t>
      </w:r>
      <w:r>
        <w:rPr>
          <w:rFonts w:ascii="Times New Roman;serif" w:hAnsi="Times New Roman;serif"/>
          <w:b w:val="false"/>
          <w:color w:val="000000"/>
          <w:sz w:val="20"/>
        </w:rPr>
        <w:t>. As a condition to the grant, vesting, and settlement of the RSUs, Participant acknowledges that, regardless of any action taken by the Company or, if different, the Employer, the ultimate liability for all income tax, social security contributions (including employer’s social security contributions to the extent such amounts may be lawfully recovered from or borne by the Participant), social insurance, payroll tax, fringe benefits tax, payment on account or other tax-related items (or any equivalent or similar taxes, contributions or other relevant tax-related items in any relevant jurisdiction) or required deductions, withholdings or payments legally applicable to him or her and related to the receipt, vesting or settlement of the RSUs, the issuance, holding or subsequent sale of the Shares allocated to the RSUs, or the participation in the Plan (“</w:t>
      </w:r>
      <w:r>
        <w:rPr>
          <w:rFonts w:ascii="Times New Roman;serif" w:hAnsi="Times New Roman;serif"/>
          <w:b w:val="false"/>
          <w:color w:val="000000"/>
          <w:sz w:val="20"/>
          <w:u w:val="single"/>
        </w:rPr>
        <w:t>Tax-Related Items</w:t>
      </w:r>
      <w:r>
        <w:rPr>
          <w:color w:val="000000"/>
        </w:rPr>
        <w:t>”</w:t>
      </w:r>
      <w:r>
        <w:rPr>
          <w:rFonts w:ascii="Times New Roman;serif" w:hAnsi="Times New Roman;serif"/>
          <w:b w:val="false"/>
          <w:color w:val="000000"/>
          <w:sz w:val="20"/>
        </w:rPr>
        <w:t>) is and remains Participant’s responsibility and may exceed the amount actually withheld by the Company or the Employer. Participant further acknowledges and agrees that Participant is solely responsible for filing all relevant documentation that may be required in relation to the RSUs or any Tax-Related Items (other than filings or documentation that is the specific obligation of the Company, its Parent, Subsidiaries or Affiliates (the “</w:t>
      </w:r>
      <w:r>
        <w:rPr>
          <w:rFonts w:ascii="Times New Roman;serif" w:hAnsi="Times New Roman;serif"/>
          <w:b w:val="false"/>
          <w:color w:val="000000"/>
          <w:sz w:val="20"/>
          <w:u w:val="single"/>
        </w:rPr>
        <w:t>Company Group</w:t>
      </w:r>
      <w:r>
        <w:rPr>
          <w:color w:val="000000"/>
        </w:rPr>
        <w:t>”</w:t>
      </w:r>
      <w:r>
        <w:rPr>
          <w:rFonts w:ascii="Times New Roman;serif" w:hAnsi="Times New Roman;serif"/>
          <w:b w:val="false"/>
          <w:color w:val="000000"/>
          <w:sz w:val="20"/>
        </w:rPr>
        <w:t>) pursuant to Applicable Laws), such as, but not limited to, personal income tax returns or reporting statements in relation to the receipt, vesting or settlement of the RSUs, the issuance of the Shares allocated to the RSUs, the holding of Shares or any bank or brokerage account, the subsequent sale of Shares, and the receipt of any dividends.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Participant further acknowledges that the Company and/or the Employer: (i) make no representations or undertakings regarding the treatment of any Tax-Related Items in connection with any aspect of the RSUs, including, but not limited to, the receipt, vesting or settlement of the RSUs, the issuance, holding or subsequent sale </w:t>
      </w:r>
    </w:p>
    <w:p>
      <w:pPr>
        <w:pStyle w:val="TextBody"/>
        <w:bidi w:val="0"/>
        <w:spacing w:before="0" w:after="0"/>
        <w:jc w:val="left"/>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175260"/>
                <wp:effectExtent l="0" t="0" r="0" b="0"/>
                <wp:wrapNone/>
                <wp:docPr id="156" name="Frame1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of the Shares allocated to the RSUs and the receipt of any dividends; and (ii) do not commit to and are under no obligation to structure the terms of the grant or any aspect of the RSUs to reduce or eliminate Participant’s liability for Tax-Related Items or achieve any particular tax result. Participant also understands that Applicable Laws may require varying RSU or Share valuation methods for purposes of calculating Tax-Related Items, and the Company assumes no responsibility or liability in relation to any such valuation or for any calculation or reporting of income or Tax-Related Items that may be required of Participant under Applicable Laws.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By entering into this Agreement, Participant agrees to indemnify the Company, the Employer and any relevant Parent, Subsidiary or Affiliate, against all and any liability for any taxes or Tax-Related Items which may arise in respect of or in connection with the RSUs (or, for the avoidance of doubt, any RSUs granted or provided to Participant by way of rollover, assumption or replacement of the RSUs) or the Shares (or, for the avoidance of doubt, other shares or securities) issued or transferred pursuant to the vesting of the RSUs (or, for the avoidance of doubt, any RSUs granted or provided to Participant by way of rollover, assumption or replacement of the RSUs).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Further, if Participant is subject to Tax-Related Items in more than one jurisdiction between the Date of Grant and the date of any relevant taxable or tax withholding event, as applicable, Participant acknowledges that the Company and/or the Employer (or former employer, as applicable) may be required to withhold or account for Tax-Related Items in more than one jurisdiction.</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Prior to the relevant taxable or tax withholding event, as applicable, Participant agrees to make adequate arrangements satisfactory to the Company and/or the Employer to satisfy all Tax-Related Items. In this regard, pursuant to this Agreement and subject to the Grant Notice and Applicable Laws, unless otherwise determined by the Committee, Participant authorizes the Company and/or the Employer, or their respective agents, at their discretion, to satisfy Participant’s Tax Withholding Obligations by (i) withholding or deducting from Participant’s wages or other compensation paid to Participant by the Company or the Employer, (ii) withholding from proceeds of the sale of Shares acquired pursuant to the RSUs either through a voluntary sale or through a mandatory sale arranged by the Company (on Participant’s behalf pursuant to this authorization) without further consent, (iii) withholding Shares that would otherwise be issued upon settlement of the RSUs or (iv) such other method as determined by the Company.</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Depending on the method of satisfying the Tax Withholding Obligations, the Company and/or the Employer may pay, withhold or account for such Tax Withholding Obligations by considering applicable minimum statutory withholding amounts or other applicable tax or withholding rates, including maximum applicable rates, in which case Participant will (depending on the laws of the relevant jurisdiction) receive a refund of any over-withheld or over-paid amount in cash or otherwise be able to claim relief in respect of any such over-withheld or over-paid amount, and will in any event have no entitlement to the Share equivalent.</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Participant agrees to pay to the Company or the Employer any amount of Tax Withholding Obligations that the Company or the Employer may be required to pay, withhold or account for as a result of Participant’s receipt, vesting or settlement of the RSUs, the issuance or holding of the Shares allocated to the RSUs or the participation in the Plan that cannot be satisfied by the means previously described. The Company may refuse to issue or deliver the Shares or the proceeds of the sale of Shares if Participant fails to comply with his or her obligations in connection with the Tax Withholding Obligations.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Participant understands that Participant may suffer adverse tax consequences as a result of Participant’s receipt of the RSUs, the vesting and/or settlement of the RSUs, the issuance or holding of Shares allocated to the RSUs and/or the disposition of such Shares. Participant represents that Participant has consulted any tax consultants Participant deems advisable in connection with the receipt of the RSUs, the vesting and/or settlement of the RSUs, the issuance or holding of Shares allocated to the RSUs and/or the disposition of such Shares and that Participant is not relying on the Company (or the Employer) for any tax advice.</w:t>
      </w:r>
    </w:p>
    <w:p>
      <w:pPr>
        <w:pStyle w:val="TextBody"/>
        <w:bidi w:val="0"/>
        <w:spacing w:before="0" w:after="0"/>
        <w:jc w:val="left"/>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146685"/>
                <wp:effectExtent l="0" t="0" r="0" b="0"/>
                <wp:wrapNone/>
                <wp:docPr id="157" name="Frame1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4"/>
        </w:rPr>
        <w:t>4.</w:t>
      </w:r>
      <w:r>
        <w:rPr>
          <w:rFonts w:ascii="Times New Roman;serif" w:hAnsi="Times New Roman;serif"/>
          <w:b/>
          <w:color w:val="000000"/>
          <w:sz w:val="20"/>
          <w:u w:val="single"/>
        </w:rPr>
        <w:t>Nature of Grant</w:t>
      </w:r>
      <w:r>
        <w:rPr>
          <w:rFonts w:ascii="Times New Roman;serif" w:hAnsi="Times New Roman;serif"/>
          <w:b w:val="false"/>
          <w:color w:val="000000"/>
          <w:sz w:val="20"/>
        </w:rPr>
        <w:t>. In accepting the RSUs, Participant acknowledges, understands and agrees that:</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0"/>
        </w:rPr>
        <w:t>the Plan is established voluntarily by the Company, is discretionary in nature, and may be amended, suspended or terminated by the Company at any time, to the extent permitted by the Plan;</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0"/>
        </w:rPr>
        <w:t>the grant of the RSUs is voluntary and occasional and does not create any contractual or other right to receive future grants of Restricted Stock Units, or benefits in lieu of Restricted Stock Units, even if Restricted Stock Units have been granted in the past;</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0"/>
        </w:rPr>
        <w:t>all decisions with respect to future Restricted Stock Units or other grants, if any, will be at the sole discretion of the Company;</w:t>
      </w:r>
    </w:p>
    <w:p>
      <w:pPr>
        <w:pStyle w:val="TextBody"/>
        <w:bidi w:val="0"/>
        <w:spacing w:lineRule="auto" w:line="240"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0"/>
        </w:rPr>
        <w:t>Participant is voluntarily participating in the Plan;</w:t>
      </w:r>
    </w:p>
    <w:p>
      <w:pPr>
        <w:pStyle w:val="TextBody"/>
        <w:bidi w:val="0"/>
        <w:spacing w:lineRule="auto" w:line="240" w:before="0" w:after="240"/>
        <w:ind w:left="0" w:right="0" w:firstLine="720"/>
        <w:jc w:val="both"/>
        <w:rPr/>
      </w:pPr>
      <w:r>
        <w:rPr>
          <w:rFonts w:ascii="Times New Roman;serif" w:hAnsi="Times New Roman;serif"/>
          <w:b w:val="false"/>
          <w:color w:val="000000"/>
          <w:sz w:val="24"/>
        </w:rPr>
        <w:t>(e)</w:t>
      </w:r>
      <w:r>
        <w:rPr>
          <w:rFonts w:ascii="Times New Roman;serif" w:hAnsi="Times New Roman;serif"/>
          <w:b w:val="false"/>
          <w:color w:val="000000"/>
          <w:sz w:val="20"/>
        </w:rPr>
        <w:t>the RSUs and the Shares allocated to the RSUs are not intended to replace any pension rights or compensation and are outside the scope of Participant’s employment contract, if any;</w:t>
      </w:r>
    </w:p>
    <w:p>
      <w:pPr>
        <w:pStyle w:val="TextBody"/>
        <w:bidi w:val="0"/>
        <w:spacing w:lineRule="auto" w:line="240" w:before="0" w:after="240"/>
        <w:ind w:left="0" w:right="0" w:firstLine="720"/>
        <w:jc w:val="both"/>
        <w:rPr/>
      </w:pPr>
      <w:r>
        <w:rPr>
          <w:rFonts w:ascii="Times New Roman;serif" w:hAnsi="Times New Roman;serif"/>
          <w:b w:val="false"/>
          <w:color w:val="000000"/>
          <w:sz w:val="24"/>
        </w:rPr>
        <w:t>(f)</w:t>
      </w:r>
      <w:r>
        <w:rPr>
          <w:rFonts w:ascii="Times New Roman;serif" w:hAnsi="Times New Roman;serif"/>
          <w:b w:val="false"/>
          <w:color w:val="000000"/>
          <w:sz w:val="20"/>
        </w:rPr>
        <w:t>the RSUs and the Shares allocated to the RSUs , and the income and value of same, are not part of normal or expected compensation for any purpose, including, without limitation, calculating any severance, resignation, termination, redundancy, dismissal, end-of-service payments, bonuses, long-service awards, pension or retirement or welfare benefits or similar payments;</w:t>
      </w:r>
    </w:p>
    <w:p>
      <w:pPr>
        <w:pStyle w:val="TextBody"/>
        <w:bidi w:val="0"/>
        <w:spacing w:lineRule="auto" w:line="240" w:before="0" w:after="240"/>
        <w:ind w:left="0" w:right="0" w:firstLine="720"/>
        <w:jc w:val="both"/>
        <w:rPr/>
      </w:pPr>
      <w:r>
        <w:rPr>
          <w:rFonts w:ascii="Times New Roman;serif" w:hAnsi="Times New Roman;serif"/>
          <w:b w:val="false"/>
          <w:color w:val="000000"/>
          <w:sz w:val="24"/>
        </w:rPr>
        <w:t>(g)</w:t>
      </w:r>
      <w:r>
        <w:rPr>
          <w:rFonts w:ascii="Times New Roman;serif" w:hAnsi="Times New Roman;serif"/>
          <w:b w:val="false"/>
          <w:color w:val="000000"/>
          <w:sz w:val="20"/>
        </w:rPr>
        <w:t>unless otherwise provided in the Plan or by the Company in its discretion, the RSUs and the benefits evidenced by this Agreement do not create any entitlement to have the RSUs or any such benefits transferred to, or assumed by, another company nor to be exchanged, cashed out or substituted for, in connection with any corporate transaction affecting the Shares; and</w:t>
      </w:r>
    </w:p>
    <w:p>
      <w:pPr>
        <w:pStyle w:val="TextBody"/>
        <w:bidi w:val="0"/>
        <w:spacing w:lineRule="auto" w:line="240" w:before="0" w:after="240"/>
        <w:ind w:left="0" w:right="0" w:firstLine="720"/>
        <w:jc w:val="both"/>
        <w:rPr/>
      </w:pPr>
      <w:r>
        <w:rPr>
          <w:rFonts w:ascii="Times New Roman;serif" w:hAnsi="Times New Roman;serif"/>
          <w:b w:val="false"/>
          <w:color w:val="000000"/>
          <w:sz w:val="24"/>
        </w:rPr>
        <w:t>(h)</w:t>
      </w:r>
      <w:r>
        <w:rPr>
          <w:rFonts w:ascii="Times New Roman;serif" w:hAnsi="Times New Roman;serif"/>
          <w:b w:val="false"/>
          <w:color w:val="000000"/>
          <w:sz w:val="20"/>
        </w:rPr>
        <w:t>no entity in the Company Group shall be liable for any foreign exchange rate fluctuation between Participant’s local currency and the United States Dollar or the selection by the Company or any member of the Company Group in its sole discretion of an applicable foreign exchange rate that may affect the value of the RSUs (or the calculation of income or Tax-Related Items thereunder) or of any amounts due to Participant pursuant to the settlement of the RSUs or the subsequent sale of the Shares allocated to the RSUs.</w:t>
      </w:r>
    </w:p>
    <w:p>
      <w:pPr>
        <w:pStyle w:val="TextBody"/>
        <w:bidi w:val="0"/>
        <w:spacing w:lineRule="auto" w:line="240" w:before="0" w:after="240"/>
        <w:ind w:left="0" w:right="0" w:firstLine="720"/>
        <w:jc w:val="both"/>
        <w:rPr/>
      </w:pPr>
      <w:r>
        <w:rPr>
          <w:rFonts w:ascii="Times New Roman;serif" w:hAnsi="Times New Roman;serif"/>
          <w:b w:val="false"/>
          <w:color w:val="000000"/>
          <w:sz w:val="24"/>
        </w:rPr>
        <w:t>5.</w:t>
      </w:r>
      <w:r>
        <w:rPr>
          <w:rFonts w:ascii="Times New Roman;serif" w:hAnsi="Times New Roman;serif"/>
          <w:b/>
          <w:color w:val="000000"/>
          <w:sz w:val="20"/>
          <w:u w:val="single"/>
        </w:rPr>
        <w:t>Section 409A of the U.S. Internal Revenue Code</w:t>
      </w:r>
      <w:r>
        <w:rPr>
          <w:rFonts w:ascii="Times New Roman;serif" w:hAnsi="Times New Roman;serif"/>
          <w:b w:val="false"/>
          <w:color w:val="000000"/>
          <w:sz w:val="20"/>
        </w:rPr>
        <w:t>. All payments made and benefits provided under this Agreement are intended to be exempt from or comply with the requirements of Section 409A of the Code so that none of the payments or benefits will be subject to the adverse tax penalties imposed under Section 409A. Each tranche of RSUs that vests, or is scheduled to vest, pursuant to the Grant Notice shall be designated as a “separate payment” for purposes of Treasury Regulation Section 1.409A-2(b)(2). Notwithstanding anything in the Plan or this Agreement to the contrary, if the vesting of all or a portion of any unvested RSUs is accelerated in connection with the Participant’s termination of Continuous Service Status (provided that such termination is a “separation from service” within the meaning of Section 409A, as determined by the Company), other than due to death</w:t>
      </w:r>
      <w:r>
        <w:rPr>
          <w:rFonts w:ascii="Times New Roman;serif" w:hAnsi="Times New Roman;serif"/>
          <w:b/>
          <w:color w:val="000000"/>
          <w:sz w:val="20"/>
        </w:rPr>
        <w:t xml:space="preserve">, </w:t>
      </w:r>
      <w:r>
        <w:rPr>
          <w:rFonts w:ascii="Times New Roman;serif" w:hAnsi="Times New Roman;serif"/>
          <w:b w:val="false"/>
          <w:color w:val="000000"/>
          <w:sz w:val="20"/>
        </w:rPr>
        <w:t xml:space="preserve">and if both (a) the Participant is a “specified employee” within the meaning of Section 409A of the Code at the time of such termination of Continuous Service Status, and (b) the payment of such accelerated RSUs would result in the imposition of additional tax under Section 409A of the Code if paid to the Participant within the 6 month period following the Participant’s termination of Continuous Service Status, then the payment of such accelerated RSUs will not be made until the date that is 6 months and 1 day following the date of the Participant’s termination of Continuous Service Status, unless the Participant dies following such Participant’s termination of </w:t>
      </w:r>
    </w:p>
    <w:p>
      <w:pPr>
        <w:pStyle w:val="TextBody"/>
        <w:bidi w:val="0"/>
        <w:spacing w:before="0" w:after="0"/>
        <w:jc w:val="left"/>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146685"/>
                <wp:effectExtent l="0" t="0" r="0" b="0"/>
                <wp:wrapNone/>
                <wp:docPr id="158" name="Frame1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Continuous Service Status, in which case, the RSUs will be paid in Shares to the Participant’s estate as soon as practicable following Participant’s death. </w:t>
      </w:r>
    </w:p>
    <w:p>
      <w:pPr>
        <w:pStyle w:val="TextBody"/>
        <w:bidi w:val="0"/>
        <w:spacing w:lineRule="auto" w:line="288" w:before="0" w:after="240"/>
        <w:ind w:left="0" w:right="0" w:firstLine="720"/>
        <w:jc w:val="both"/>
        <w:rPr/>
      </w:pPr>
      <w:r>
        <w:rPr>
          <w:rFonts w:ascii="Times New Roman;serif" w:hAnsi="Times New Roman;serif"/>
          <w:b w:val="false"/>
          <w:color w:val="000000"/>
          <w:sz w:val="24"/>
        </w:rPr>
        <w:t>6.</w:t>
      </w:r>
      <w:r>
        <w:rPr>
          <w:rFonts w:ascii="Times New Roman;serif" w:hAnsi="Times New Roman;serif"/>
          <w:b w:val="false"/>
          <w:color w:val="000000"/>
          <w:sz w:val="20"/>
        </w:rPr>
        <w:t>In no event will the Company reimburse Participant for any taxes or other penalties that may be imposed on Participant as a result of Section 409A and, by accepting the RSUs, Participant hereby indemnifies the Company for any liability that arises as a result of Section 409A.</w:t>
      </w:r>
    </w:p>
    <w:p>
      <w:pPr>
        <w:pStyle w:val="TextBody"/>
        <w:bidi w:val="0"/>
        <w:spacing w:lineRule="auto" w:line="240" w:before="0" w:after="240"/>
        <w:ind w:left="0" w:right="0" w:firstLine="720"/>
        <w:jc w:val="both"/>
        <w:rPr/>
      </w:pPr>
      <w:r>
        <w:rPr>
          <w:rFonts w:ascii="Times New Roman;serif" w:hAnsi="Times New Roman;serif"/>
          <w:b w:val="false"/>
          <w:color w:val="000000"/>
          <w:sz w:val="24"/>
        </w:rPr>
        <w:t>7.</w:t>
      </w:r>
      <w:r>
        <w:rPr>
          <w:rFonts w:ascii="Times New Roman;serif" w:hAnsi="Times New Roman;serif"/>
          <w:b/>
          <w:color w:val="000000"/>
          <w:sz w:val="20"/>
          <w:u w:val="single"/>
        </w:rPr>
        <w:t>No Advice Regarding Grant</w:t>
      </w:r>
      <w:r>
        <w:rPr>
          <w:rFonts w:ascii="Times New Roman;serif" w:hAnsi="Times New Roman;serif"/>
          <w:b w:val="false"/>
          <w:color w:val="000000"/>
          <w:sz w:val="20"/>
        </w:rPr>
        <w:t>. The Company is not providing any tax, legal or financial advice, nor is the Company making any recommendations regarding Participant’s participation in the Plan, or Participant’s receipt of the RSUs, the vesting or settlement of the RSUs or the Shares allocated thereto or the sale of such Shares. Participant is hereby advised to consult with his or her own personal tax, legal and financial advisors regarding his or her participation in the Plan and the RSUs before accepting the RSUs or otherwise taking any action related to the RSUs or the Plan.</w:t>
      </w:r>
    </w:p>
    <w:p>
      <w:pPr>
        <w:pStyle w:val="TextBody"/>
        <w:bidi w:val="0"/>
        <w:spacing w:lineRule="auto" w:line="240" w:before="0" w:after="240"/>
        <w:ind w:left="0" w:right="0" w:firstLine="720"/>
        <w:jc w:val="both"/>
        <w:rPr/>
      </w:pPr>
      <w:r>
        <w:rPr>
          <w:rFonts w:ascii="Times New Roman;serif" w:hAnsi="Times New Roman;serif"/>
          <w:b w:val="false"/>
          <w:color w:val="000000"/>
          <w:sz w:val="24"/>
        </w:rPr>
        <w:t>8.</w:t>
      </w:r>
      <w:r>
        <w:rPr>
          <w:rFonts w:ascii="Times New Roman;serif" w:hAnsi="Times New Roman;serif"/>
          <w:b/>
          <w:color w:val="000000"/>
          <w:sz w:val="20"/>
          <w:u w:val="single"/>
        </w:rPr>
        <w:t>Data Privacy</w:t>
      </w:r>
      <w:r>
        <w:rPr>
          <w:rFonts w:ascii="Times New Roman;serif" w:hAnsi="Times New Roman;serif"/>
          <w:b w:val="false"/>
          <w:color w:val="000000"/>
          <w:sz w:val="20"/>
        </w:rPr>
        <w:t>.</w:t>
      </w:r>
    </w:p>
    <w:p>
      <w:pPr>
        <w:pStyle w:val="TextBody"/>
        <w:bidi w:val="0"/>
        <w:spacing w:lineRule="auto" w:line="288" w:before="0" w:after="240"/>
        <w:ind w:left="0" w:right="0" w:firstLine="720"/>
        <w:jc w:val="both"/>
        <w:rPr/>
      </w:pPr>
      <w:r>
        <w:rPr>
          <w:rFonts w:ascii="Times New Roman;serif" w:hAnsi="Times New Roman;serif"/>
          <w:b/>
          <w:i/>
          <w:color w:val="000000"/>
          <w:sz w:val="20"/>
        </w:rPr>
        <w:t>Participant understands that the Company Group may hold certain personal information about Participant, including, but not limited to, Participant’s name, home address and telephone number, date of birth, social insurance number or other identification number, salary, nationality, job title, any Shares or directorships held in the Company, details of all Awards, or any other entitlement to Shares awarded, canceled, exercised, vested, unvested or outstanding in Participant’s favor (“</w:t>
      </w:r>
      <w:r>
        <w:rPr>
          <w:rFonts w:ascii="Times New Roman;serif" w:hAnsi="Times New Roman;serif"/>
          <w:b/>
          <w:i/>
          <w:color w:val="000000"/>
          <w:sz w:val="20"/>
          <w:u w:val="single"/>
        </w:rPr>
        <w:t>Data</w:t>
      </w:r>
      <w:r>
        <w:rPr>
          <w:color w:val="000000"/>
        </w:rPr>
        <w:t>”</w:t>
      </w:r>
      <w:r>
        <w:rPr>
          <w:rFonts w:ascii="Times New Roman;serif" w:hAnsi="Times New Roman;serif"/>
          <w:b/>
          <w:i/>
          <w:color w:val="000000"/>
          <w:sz w:val="20"/>
        </w:rPr>
        <w:t>), for the purpose of implementing, administering and managing the Plan, including, as the case may be, sensitive information pertaining to disability claims, (“</w:t>
      </w:r>
      <w:r>
        <w:rPr>
          <w:rFonts w:ascii="Times New Roman;serif" w:hAnsi="Times New Roman;serif"/>
          <w:b/>
          <w:i/>
          <w:color w:val="000000"/>
          <w:sz w:val="20"/>
          <w:u w:val="single"/>
        </w:rPr>
        <w:t>Data</w:t>
      </w:r>
      <w:r>
        <w:rPr>
          <w:color w:val="000000"/>
        </w:rPr>
        <w:t>”</w:t>
      </w:r>
      <w:r>
        <w:rPr>
          <w:rFonts w:ascii="Times New Roman;serif" w:hAnsi="Times New Roman;serif"/>
          <w:b/>
          <w:i/>
          <w:color w:val="000000"/>
          <w:sz w:val="20"/>
        </w:rPr>
        <w:t>), to the extent necessary for the sole purpose of implementing, administering and managing the Plan. Participant understands that Data will be transferred to such stock plan service provider as may be selected by the Company, presently or in the future, which may be assisting the Company with the implementation, administration and management of the Plan, to the extent necessary and for the sole purpose of the administration and management of the Plan.</w:t>
      </w:r>
    </w:p>
    <w:p>
      <w:pPr>
        <w:pStyle w:val="TextBody"/>
        <w:bidi w:val="0"/>
        <w:spacing w:lineRule="auto" w:line="288" w:before="0" w:after="240"/>
        <w:ind w:left="0" w:right="0" w:firstLine="720"/>
        <w:jc w:val="both"/>
        <w:rPr>
          <w:rFonts w:ascii="Times New Roman;serif" w:hAnsi="Times New Roman;serif"/>
          <w:b/>
          <w:i/>
          <w:color w:val="000000"/>
          <w:sz w:val="20"/>
        </w:rPr>
      </w:pPr>
      <w:r>
        <w:rPr>
          <w:rFonts w:ascii="Times New Roman;serif" w:hAnsi="Times New Roman;serif"/>
          <w:b/>
          <w:i/>
          <w:color w:val="000000"/>
          <w:sz w:val="20"/>
        </w:rPr>
        <w:t>Participant understands that the recipients of the Data may be located in the United States or elsewhere, and that the recipient’s country (e.g., the United States) may have different data privacy laws and protections than Participant’s country.</w:t>
      </w:r>
    </w:p>
    <w:p>
      <w:pPr>
        <w:pStyle w:val="TextBody"/>
        <w:bidi w:val="0"/>
        <w:spacing w:lineRule="auto" w:line="240" w:before="0" w:after="240"/>
        <w:ind w:left="0" w:right="0" w:firstLine="720"/>
        <w:jc w:val="both"/>
        <w:rPr/>
      </w:pPr>
      <w:r>
        <w:rPr>
          <w:rFonts w:ascii="Times New Roman;serif" w:hAnsi="Times New Roman;serif"/>
          <w:b w:val="false"/>
          <w:color w:val="000000"/>
          <w:sz w:val="24"/>
        </w:rPr>
        <w:t>9.</w:t>
      </w:r>
      <w:r>
        <w:rPr>
          <w:rFonts w:ascii="Times New Roman;serif" w:hAnsi="Times New Roman;serif"/>
          <w:b/>
          <w:color w:val="000000"/>
          <w:sz w:val="20"/>
          <w:u w:val="single"/>
        </w:rPr>
        <w:t>Miscellaneous</w:t>
      </w:r>
      <w:r>
        <w:rPr>
          <w:rFonts w:ascii="Times New Roman;serif" w:hAnsi="Times New Roman;serif"/>
          <w:b w:val="false"/>
          <w:color w:val="000000"/>
          <w:sz w:val="20"/>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color w:val="000000"/>
          <w:sz w:val="20"/>
          <w:u w:val="single"/>
        </w:rPr>
        <w:t>Governing Law and Venue</w:t>
      </w:r>
      <w:r>
        <w:rPr>
          <w:rFonts w:ascii="Times New Roman;serif" w:hAnsi="Times New Roman;serif"/>
          <w:b w:val="false"/>
          <w:color w:val="000000"/>
          <w:sz w:val="20"/>
        </w:rPr>
        <w:t>. This Agreement and all acts and transactions pursuant hereto and the rights and obligations of the parties hereto shall be governed, construed and interpreted in accordance with the laws of the State of Delaware, without giving effect to principles of conflicts of law. For purposes of any action, lawsuit or other proceedings brought to enforce this Agreement, relating to it, or arising from it, the parties hereby submit and consent to the sole and exclusive jurisdiction of the Court of Chancery of the State of Delaware located in Wilmington, Delaware (or, if the Court of Chancery of the State of Delaware declines to accept jurisdiction over a particular matter, any state court located in Wilmington, Delaware or the United States District Court for the District of Delaware) and appellate courts thereof, and no other courts, where this grant is made and/or to be performed.</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color w:val="000000"/>
          <w:sz w:val="20"/>
          <w:u w:val="single"/>
        </w:rPr>
        <w:t>Addendum and Sub-Plans</w:t>
      </w:r>
      <w:r>
        <w:rPr>
          <w:rFonts w:ascii="Times New Roman;serif" w:hAnsi="Times New Roman;serif"/>
          <w:b w:val="false"/>
          <w:color w:val="000000"/>
          <w:sz w:val="20"/>
        </w:rPr>
        <w:t xml:space="preserve">. Notwithstanding any provisions in this Agreement, the RSUs shall be subject to any special terms and conditions set forth in any Addendum to this Agreement for Participant’s country. Moreover, if Participant relocates to one of the countries included in any Addendum, the special terms and conditions for such country will apply to Participant, to the extent the Company determines that the application of such terms and conditions is necessary or advisable for legal or administrative reasons. Any Addendum that may be attached hereto constitutes part of this Agreement. Further, the Plan shall be deemed to include any special terms and conditions set forth in any applicable sub-plan for Participant’s country (if any), and, if Participant relocates to a country for which the Company has established a sub-plan, the special terms and </w:t>
      </w:r>
    </w:p>
    <w:p>
      <w:pPr>
        <w:pStyle w:val="TextBody"/>
        <w:bidi w:val="0"/>
        <w:spacing w:before="0" w:after="0"/>
        <w:jc w:val="left"/>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146685"/>
                <wp:effectExtent l="0" t="0" r="0" b="0"/>
                <wp:wrapNone/>
                <wp:docPr id="159" name="Frame1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0"/>
        </w:rPr>
      </w:pPr>
      <w:r>
        <w:rPr>
          <w:rFonts w:ascii="Times New Roman;serif" w:hAnsi="Times New Roman;serif"/>
          <w:b w:val="false"/>
          <w:color w:val="000000"/>
          <w:sz w:val="20"/>
        </w:rPr>
        <w:t>conditions for such country will apply to Participant, to the extent the Company determines that the application of such terms and conditions is necessary or advisable for legal or administrative reasons.</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color w:val="000000"/>
          <w:sz w:val="20"/>
          <w:u w:val="single"/>
        </w:rPr>
        <w:t>Compensation Recovery</w:t>
      </w:r>
      <w:r>
        <w:rPr>
          <w:rFonts w:ascii="Times New Roman;serif" w:hAnsi="Times New Roman;serif"/>
          <w:b w:val="false"/>
          <w:color w:val="000000"/>
          <w:sz w:val="20"/>
        </w:rPr>
        <w:t>. Notwithstanding anything in the Grant Notice or RSU Agreement to the contrary, the Participant acknowledges and agrees that the Grant Notice and this RSU Agreement and the award described herein (and any settlement thereof) are subject to the terms and conditions of the Company’s clawback provisions, policy or policies (if any) as may exist or be in effect from time to time, including specifically to implement Section 10D of the Exchange Act and any applicable rules or regulations promulgated thereunder (including applicable rules and regulations of any national securities exchange on which the Shares at any point may be traded) (the “</w:t>
      </w:r>
      <w:r>
        <w:rPr>
          <w:rFonts w:ascii="Times New Roman;serif" w:hAnsi="Times New Roman;serif"/>
          <w:b w:val="false"/>
          <w:color w:val="000000"/>
          <w:sz w:val="20"/>
          <w:u w:val="single"/>
        </w:rPr>
        <w:t>Compensation Recovery Policy</w:t>
      </w:r>
      <w:r>
        <w:rPr>
          <w:color w:val="000000"/>
        </w:rPr>
        <w:t>”</w:t>
      </w:r>
      <w:r>
        <w:rPr>
          <w:rFonts w:ascii="Times New Roman;serif" w:hAnsi="Times New Roman;serif"/>
          <w:b w:val="false"/>
          <w:color w:val="000000"/>
          <w:sz w:val="20"/>
        </w:rPr>
        <w:t>), and that applicable provisions of the Grant Notice and this RSU Agreement (or any related documents) shall be interpreted consistently with (or deemed superseded by and/or subject to, as applicable) the terms and conditions of the Compensation Recovery Policy. Further, by accepting these RSUs, the Participant agrees (or has agreed) to fully cooperate with and assist the Company in connection with any of the Participant’s obligations to the Company pursuant to the Compensation Recovery Policy, and agrees (or has agreed) that the Company may enforce its rights under the Compensation Recovery Policy through any and all reasonable means permitted under applicable law as it deems necessary or desirable under the Compensation Recovery Policy, in each case from and after the effective dates thereof. Such cooperation and assistance shall include, but is not limited to, executing, completing and submitting any documentation necessary to facilitate the recovery or recoupment by the Company from the Participant of any such amounts, including from the Participants’ accounts or from any other compensation, to the extent permissible under Section 409A of the Code.</w:t>
      </w:r>
    </w:p>
    <w:p>
      <w:pPr>
        <w:pStyle w:val="TextBody"/>
        <w:bidi w:val="0"/>
        <w:spacing w:lineRule="auto" w:line="240" w:before="0" w:after="240"/>
        <w:ind w:left="0" w:right="0" w:firstLine="1440"/>
        <w:jc w:val="both"/>
        <w:rPr/>
      </w:pPr>
      <w:r>
        <w:rPr>
          <w:rFonts w:ascii="Times New Roman;serif" w:hAnsi="Times New Roman;serif"/>
          <w:b w:val="false"/>
          <w:color w:val="000000"/>
          <w:sz w:val="24"/>
        </w:rPr>
        <w:t>(d)</w:t>
      </w:r>
      <w:r>
        <w:rPr>
          <w:rFonts w:ascii="Times New Roman;serif" w:hAnsi="Times New Roman;serif"/>
          <w:b/>
          <w:color w:val="000000"/>
          <w:sz w:val="20"/>
          <w:u w:val="single"/>
        </w:rPr>
        <w:t>Entire Agreement; Enforcement of Rights; Amendment</w:t>
      </w:r>
      <w:r>
        <w:rPr>
          <w:rFonts w:ascii="Times New Roman;serif" w:hAnsi="Times New Roman;serif"/>
          <w:b w:val="false"/>
          <w:color w:val="000000"/>
          <w:sz w:val="20"/>
        </w:rPr>
        <w:t>. This Agreement, together with the Plan, and the Grant Notice sets forth the entire agreement and understanding of the parties relating to the subject matter herein and merges all prior or contemporaneous discussions between them. Except as contemplated by the Plan, no modification of or amendment to this Agreement, nor any waiver of any rights under this Agreement, shall be effective unless in writing signed by the parties to this Agreement to the extent it would materially and adversely affect the rights of Participant. The failure by either party to enforce any rights under this Agreement shall not be construed as a waiver of any rights of such party. Notwithstanding anything to the contrary in the Plan or this Agreement, the Company reserves the right to revise this Agreement as it deems necessary or advisable, in its sole discretion and without the consent of Participant, to comply with Code Section 409A or to otherwise avoid imposition of any additional tax or income recognition under Section 409A of the Code in connection with the RSUs.</w:t>
      </w:r>
    </w:p>
    <w:p>
      <w:pPr>
        <w:pStyle w:val="TextBody"/>
        <w:bidi w:val="0"/>
        <w:spacing w:lineRule="auto" w:line="240" w:before="0" w:after="240"/>
        <w:ind w:left="0" w:right="0" w:firstLine="1440"/>
        <w:jc w:val="both"/>
        <w:rPr/>
      </w:pPr>
      <w:r>
        <w:rPr>
          <w:rFonts w:ascii="Times New Roman;serif" w:hAnsi="Times New Roman;serif"/>
          <w:b w:val="false"/>
          <w:color w:val="000000"/>
          <w:sz w:val="24"/>
        </w:rPr>
        <w:t>(e)</w:t>
      </w:r>
      <w:r>
        <w:rPr>
          <w:rFonts w:ascii="Times New Roman;serif" w:hAnsi="Times New Roman;serif"/>
          <w:b/>
          <w:color w:val="000000"/>
          <w:sz w:val="20"/>
          <w:u w:val="single"/>
        </w:rPr>
        <w:t>Severability</w:t>
      </w:r>
      <w:r>
        <w:rPr>
          <w:rFonts w:ascii="Times New Roman;serif" w:hAnsi="Times New Roman;serif"/>
          <w:b w:val="false"/>
          <w:color w:val="000000"/>
          <w:sz w:val="20"/>
        </w:rPr>
        <w:t>. If one or more provisions of this Agreement, the Grant Notice or the Plan are held to be unenforceable under Applicable Laws, the parties agree to renegotiate such provision in good faith. In the event that the parties do not reach a mutually agreeable and enforceable replacement for such provision, then (i) such provision shall be excluded from this Agreement, the Grant Notice and the Plan, (ii) the balance of the Agreement, the Grant Notice and the Plan shall be interpreted as if such provision were so excluded and (iii) the balance of the Agreement, the Grant Notice and the Plan shall be enforceable in accordance with its terms.</w:t>
      </w:r>
    </w:p>
    <w:p>
      <w:pPr>
        <w:pStyle w:val="TextBody"/>
        <w:bidi w:val="0"/>
        <w:spacing w:lineRule="auto" w:line="240" w:before="0" w:after="240"/>
        <w:ind w:left="0" w:right="0" w:firstLine="1440"/>
        <w:jc w:val="both"/>
        <w:rPr/>
      </w:pPr>
      <w:r>
        <w:rPr>
          <w:rFonts w:ascii="Times New Roman;serif" w:hAnsi="Times New Roman;serif"/>
          <w:b w:val="false"/>
          <w:color w:val="000000"/>
          <w:sz w:val="24"/>
        </w:rPr>
        <w:t>(f)</w:t>
      </w:r>
      <w:r>
        <w:rPr>
          <w:rFonts w:ascii="Times New Roman;serif" w:hAnsi="Times New Roman;serif"/>
          <w:b/>
          <w:color w:val="000000"/>
          <w:sz w:val="20"/>
          <w:u w:val="single"/>
        </w:rPr>
        <w:t>Language</w:t>
      </w:r>
      <w:r>
        <w:rPr>
          <w:rFonts w:ascii="Times New Roman;serif" w:hAnsi="Times New Roman;serif"/>
          <w:b w:val="false"/>
          <w:color w:val="000000"/>
          <w:sz w:val="20"/>
        </w:rPr>
        <w:t>. If Participant has received this Agreement, the Grant Notice, the Plan or any other document related to the RSUs and/or the Plan translated into a language other than English and if the meaning of the translated version is different than the English version, the English version will control.</w:t>
      </w:r>
    </w:p>
    <w:p>
      <w:pPr>
        <w:pStyle w:val="TextBody"/>
        <w:bidi w:val="0"/>
        <w:spacing w:lineRule="auto" w:line="240" w:before="0" w:after="240"/>
        <w:ind w:left="0" w:right="0" w:firstLine="1440"/>
        <w:jc w:val="both"/>
        <w:rPr/>
      </w:pPr>
      <w:r>
        <w:rPr>
          <w:rFonts w:ascii="Times New Roman;serif" w:hAnsi="Times New Roman;serif"/>
          <w:b w:val="false"/>
          <w:color w:val="000000"/>
          <w:sz w:val="24"/>
        </w:rPr>
        <w:t>(g)</w:t>
      </w:r>
      <w:r>
        <w:rPr>
          <w:rFonts w:ascii="Times New Roman;serif" w:hAnsi="Times New Roman;serif"/>
          <w:b/>
          <w:color w:val="000000"/>
          <w:sz w:val="20"/>
          <w:u w:val="single"/>
        </w:rPr>
        <w:t>Imposition of Other Requirements</w:t>
      </w:r>
      <w:r>
        <w:rPr>
          <w:rFonts w:ascii="Times New Roman;serif" w:hAnsi="Times New Roman;serif"/>
          <w:b w:val="false"/>
          <w:color w:val="000000"/>
          <w:sz w:val="20"/>
        </w:rPr>
        <w:t xml:space="preserve">. The Company reserves the right to impose other requirements on Participant’s participation in the Plan, on the RSUs and on any Shares allocated to the RSUs, to the extent the Company determines it is necessary or advisable for legal or administrative reasons, and to require Participant to sign any additional agreements or undertakings that may be necessary to accomplish the foregoing. Participant also acknowledges that the Applicable Laws of the country in which Participant is residing or working at the time of grant, vesting and settlement of the RSUs or the sale of Shares received pursuant to the RSUs (including any rules or regulations governing securities, foreign exchange, tax, labor, or other matters) may subject Participant to additional procedural or regulatory requirements that Participant is and will be solely responsible for and must fulfill. Such requirements may be outlined in, but are not limited to, any Addendum attached hereto. </w:t>
      </w:r>
    </w:p>
    <w:p>
      <w:pPr>
        <w:pStyle w:val="TextBody"/>
        <w:bidi w:val="0"/>
        <w:spacing w:before="0" w:after="0"/>
        <w:jc w:val="left"/>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146685"/>
                <wp:effectExtent l="0" t="0" r="0" b="0"/>
                <wp:wrapNone/>
                <wp:docPr id="160" name="Frame1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0"/>
        </w:rPr>
      </w:pPr>
      <w:r>
        <w:rPr>
          <w:rFonts w:ascii="Times New Roman;serif" w:hAnsi="Times New Roman;serif"/>
          <w:b w:val="false"/>
          <w:color w:val="000000"/>
          <w:sz w:val="20"/>
        </w:rPr>
        <w:t>Notwithstanding any provision herein, the RSUs and Participant’s participation in the Plan shall be subject to any applicable special terms and conditions or disclosures as set forth in any Addendum attached hereto.</w:t>
      </w:r>
    </w:p>
    <w:p>
      <w:pPr>
        <w:pStyle w:val="TextBody"/>
        <w:bidi w:val="0"/>
        <w:spacing w:lineRule="auto" w:line="240" w:before="0" w:after="240"/>
        <w:ind w:left="0" w:right="0" w:firstLine="1440"/>
        <w:jc w:val="both"/>
        <w:rPr/>
      </w:pPr>
      <w:r>
        <w:rPr>
          <w:rFonts w:ascii="Times New Roman;serif" w:hAnsi="Times New Roman;serif"/>
          <w:b w:val="false"/>
          <w:color w:val="000000"/>
          <w:sz w:val="24"/>
        </w:rPr>
        <w:t>(h)</w:t>
      </w:r>
      <w:r>
        <w:rPr>
          <w:rFonts w:ascii="Times New Roman;serif" w:hAnsi="Times New Roman;serif"/>
          <w:b/>
          <w:color w:val="000000"/>
          <w:sz w:val="20"/>
          <w:u w:val="single"/>
        </w:rPr>
        <w:t>Notices</w:t>
      </w:r>
      <w:r>
        <w:rPr>
          <w:rFonts w:ascii="Times New Roman;serif" w:hAnsi="Times New Roman;serif"/>
          <w:b w:val="false"/>
          <w:color w:val="000000"/>
          <w:sz w:val="20"/>
        </w:rPr>
        <w:t>. Any notice, demand or request required or permitted to be given under this Agreement shall be in writing and shall be deemed sufficient when delivered personally or by overnight courier or sent by email or fax, or 48 hours after being deposited in the U.S. mail or a comparable foreign mail service, as certified or registered mail with postage or shipping charges prepaid, addressed to the party to be notified at such party’s address as set forth on the signature page, as subsequently modified by written notice, or if no address is specified on the signature page, at the most recent address, email or fax number set forth in the Company’s books and records.</w:t>
      </w:r>
    </w:p>
    <w:p>
      <w:pPr>
        <w:pStyle w:val="TextBody"/>
        <w:bidi w:val="0"/>
        <w:spacing w:lineRule="auto" w:line="240" w:before="0" w:after="240"/>
        <w:ind w:left="0" w:right="0" w:firstLine="1440"/>
        <w:jc w:val="both"/>
        <w:rPr/>
      </w:pPr>
      <w:r>
        <w:rPr>
          <w:rFonts w:ascii="Times New Roman;serif" w:hAnsi="Times New Roman;serif"/>
          <w:b w:val="false"/>
          <w:color w:val="000000"/>
          <w:sz w:val="24"/>
        </w:rPr>
        <w:t>(i)</w:t>
      </w:r>
      <w:r>
        <w:rPr>
          <w:rFonts w:ascii="Times New Roman;serif" w:hAnsi="Times New Roman;serif"/>
          <w:b/>
          <w:color w:val="000000"/>
          <w:sz w:val="20"/>
          <w:u w:val="single"/>
        </w:rPr>
        <w:t>Counterparts</w:t>
      </w:r>
      <w:r>
        <w:rPr>
          <w:rFonts w:ascii="Times New Roman;serif" w:hAnsi="Times New Roman;serif"/>
          <w:b w:val="false"/>
          <w:color w:val="000000"/>
          <w:sz w:val="20"/>
        </w:rPr>
        <w:t>. This Agreement may be executed in two or more counterparts, each of which shall be deemed an original and all of which together shall constitute one instrument. Facsimile, email or other electronic execution and delivery of this Agreement (including but not limited to execution by electronic signature or click-through electronic acceptance) shall constitute valid and binding execution and delivery for all purposes and shall be deemed to be, and have the effect of, an original signature.</w:t>
      </w:r>
    </w:p>
    <w:p>
      <w:pPr>
        <w:pStyle w:val="TextBody"/>
        <w:bidi w:val="0"/>
        <w:spacing w:lineRule="auto" w:line="240" w:before="0" w:after="240"/>
        <w:ind w:left="0" w:right="0" w:firstLine="1440"/>
        <w:jc w:val="both"/>
        <w:rPr/>
      </w:pPr>
      <w:r>
        <w:rPr>
          <w:rFonts w:ascii="Times New Roman;serif" w:hAnsi="Times New Roman;serif"/>
          <w:b w:val="false"/>
          <w:color w:val="000000"/>
          <w:sz w:val="24"/>
        </w:rPr>
        <w:t>(j)</w:t>
      </w:r>
      <w:r>
        <w:rPr>
          <w:rFonts w:ascii="Times New Roman;serif" w:hAnsi="Times New Roman;serif"/>
          <w:b/>
          <w:color w:val="000000"/>
          <w:sz w:val="20"/>
          <w:u w:val="single"/>
        </w:rPr>
        <w:t>Successors and Assigns</w:t>
      </w:r>
      <w:r>
        <w:rPr>
          <w:rFonts w:ascii="Times New Roman;serif" w:hAnsi="Times New Roman;serif"/>
          <w:b w:val="false"/>
          <w:color w:val="000000"/>
          <w:sz w:val="20"/>
        </w:rPr>
        <w:t>. The rights and benefits of this Agreement shall inure to the benefit of and be enforceable by the Company’s successors and assigns. The rights and obligations of Participant under this Agreement may only be assigned with the prior written consent of the Company.</w:t>
      </w:r>
    </w:p>
    <w:p>
      <w:pPr>
        <w:pStyle w:val="TextBody"/>
        <w:bidi w:val="0"/>
        <w:spacing w:lineRule="auto" w:line="240" w:before="0" w:after="160"/>
        <w:ind w:left="0" w:right="0" w:firstLine="1440"/>
        <w:jc w:val="both"/>
        <w:rPr/>
      </w:pPr>
      <w:r>
        <w:rPr>
          <w:rFonts w:ascii="Times New Roman;serif" w:hAnsi="Times New Roman;serif"/>
          <w:b w:val="false"/>
          <w:color w:val="000000"/>
          <w:sz w:val="24"/>
        </w:rPr>
        <w:t>(k)</w:t>
      </w:r>
      <w:r>
        <w:rPr>
          <w:rFonts w:ascii="Times New Roman;serif" w:hAnsi="Times New Roman;serif"/>
          <w:b/>
          <w:color w:val="000000"/>
          <w:sz w:val="20"/>
          <w:u w:val="single"/>
        </w:rPr>
        <w:t>Electronic Delivery</w:t>
      </w:r>
      <w:r>
        <w:rPr>
          <w:rFonts w:ascii="Times New Roman;serif" w:hAnsi="Times New Roman;serif"/>
          <w:b w:val="false"/>
          <w:color w:val="000000"/>
          <w:sz w:val="20"/>
        </w:rPr>
        <w:t>. The Company may, in its sole discretion, decide to deliver to Participant by email or any other electronic means any documents, elections or notices related to this Agreement, the RSUs, the Shares allocated to the RSUs, Participant’s current or future participation in the Plan, securities of the Company or any member of the Company Group or any other matter, including documents, elections and/or notices required to be delivered to Participant by applicable securities law or any other Applicable Laws or the Company’s Amended Certificate of Incorporation or Bylaws. By accepting this Agreement, whether electronically or otherwise, Participant hereby consents to receive such documents and notices by such electronic delivery and agrees to participate in the Plan through an on-line or electronic system established and maintained by the Company or a third party designated by the Company, including but not limited to the use of electronic signatures or click-through electronic acceptance of terms and conditions.</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92" w:before="0" w:after="160"/>
        <w:jc w:val="right"/>
        <w:rPr>
          <w:rFonts w:ascii="Times New Roman;serif" w:hAnsi="Times New Roman;serif"/>
          <w:b/>
          <w:color w:val="000000"/>
          <w:sz w:val="20"/>
        </w:rPr>
      </w:pPr>
      <w:r>
        <w:rPr>
          <w:rFonts w:ascii="Times New Roman;serif" w:hAnsi="Times New Roman;serif"/>
          <w:b/>
          <w:color w:val="000000"/>
          <w:sz w:val="20"/>
        </w:rPr>
        <w:t>EXHIBIT 10.45</w:t>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146685"/>
                <wp:effectExtent l="0" t="0" r="0" b="0"/>
                <wp:wrapNone/>
                <wp:docPr id="161" name="Frame1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14.2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SOTERA HEALTH COMPANY</w:t>
        <w:br/>
        <w:t>2020 OMNIBUS INCENTIVE PLAN</w:t>
      </w:r>
    </w:p>
    <w:p>
      <w:pPr>
        <w:pStyle w:val="TextBody"/>
        <w:bidi w:val="0"/>
        <w:spacing w:before="0" w:after="160"/>
        <w:jc w:val="both"/>
        <w:rPr/>
      </w:pPr>
      <w:r>
        <w:rPr/>
      </w:r>
    </w:p>
    <w:p>
      <w:pPr>
        <w:pStyle w:val="TextBody"/>
        <w:bidi w:val="0"/>
        <w:spacing w:lineRule="auto" w:line="292" w:before="0" w:after="240"/>
        <w:jc w:val="center"/>
        <w:rPr>
          <w:rFonts w:ascii="Times New Roman;serif" w:hAnsi="Times New Roman;serif"/>
          <w:b/>
          <w:color w:val="000000"/>
          <w:sz w:val="20"/>
          <w:u w:val="single"/>
        </w:rPr>
      </w:pPr>
      <w:r>
        <w:rPr>
          <w:rFonts w:ascii="Times New Roman;serif" w:hAnsi="Times New Roman;serif"/>
          <w:b/>
          <w:color w:val="000000"/>
          <w:sz w:val="20"/>
          <w:u w:val="single"/>
        </w:rPr>
        <w:t>PERFORMANCE SHARE UNIT GRANT NOTICE</w:t>
      </w:r>
    </w:p>
    <w:p>
      <w:pPr>
        <w:pStyle w:val="TextBody"/>
        <w:bidi w:val="0"/>
        <w:spacing w:lineRule="auto" w:line="292" w:before="0" w:after="160"/>
        <w:jc w:val="both"/>
        <w:rPr/>
      </w:pPr>
      <w:r>
        <w:rPr>
          <w:rFonts w:ascii="Times New Roman;serif" w:hAnsi="Times New Roman;serif"/>
          <w:b w:val="false"/>
          <w:color w:val="000000"/>
          <w:sz w:val="20"/>
        </w:rPr>
        <w:t>Sotera Health Company, a Delaware corporation (the “</w:t>
      </w:r>
      <w:r>
        <w:rPr>
          <w:rFonts w:ascii="Times New Roman;serif" w:hAnsi="Times New Roman;serif"/>
          <w:b w:val="false"/>
          <w:color w:val="000000"/>
          <w:sz w:val="20"/>
          <w:u w:val="single"/>
        </w:rPr>
        <w:t>Company</w:t>
      </w:r>
      <w:r>
        <w:rPr>
          <w:color w:val="000000"/>
        </w:rPr>
        <w:t>”</w:t>
      </w:r>
      <w:r>
        <w:rPr>
          <w:rFonts w:ascii="Times New Roman;serif" w:hAnsi="Times New Roman;serif"/>
          <w:b w:val="false"/>
          <w:color w:val="000000"/>
          <w:sz w:val="20"/>
        </w:rPr>
        <w:t>), pursuant to the Sotera Health Company 2020 Omnibus Incentive Plan and any applicable sub-plan for a particular country, as applicable (together, the “</w:t>
      </w:r>
      <w:r>
        <w:rPr>
          <w:rFonts w:ascii="Times New Roman;serif" w:hAnsi="Times New Roman;serif"/>
          <w:b w:val="false"/>
          <w:color w:val="000000"/>
          <w:sz w:val="20"/>
          <w:u w:val="single"/>
        </w:rPr>
        <w:t>Plan</w:t>
      </w:r>
      <w:r>
        <w:rPr>
          <w:color w:val="000000"/>
        </w:rPr>
        <w:t>”</w:t>
      </w:r>
      <w:r>
        <w:rPr>
          <w:rFonts w:ascii="Times New Roman;serif" w:hAnsi="Times New Roman;serif"/>
          <w:b w:val="false"/>
          <w:color w:val="000000"/>
          <w:sz w:val="20"/>
        </w:rPr>
        <w:t>), has granted to the participant set forth below (the “</w:t>
      </w:r>
      <w:r>
        <w:rPr>
          <w:rFonts w:ascii="Times New Roman;serif" w:hAnsi="Times New Roman;serif"/>
          <w:b w:val="false"/>
          <w:color w:val="000000"/>
          <w:sz w:val="20"/>
          <w:u w:val="single"/>
        </w:rPr>
        <w:t>Participant</w:t>
      </w:r>
      <w:r>
        <w:rPr>
          <w:color w:val="000000"/>
        </w:rPr>
        <w:t>”</w:t>
      </w:r>
      <w:r>
        <w:rPr>
          <w:rFonts w:ascii="Times New Roman;serif" w:hAnsi="Times New Roman;serif"/>
          <w:b w:val="false"/>
          <w:color w:val="000000"/>
          <w:sz w:val="20"/>
        </w:rPr>
        <w:t>), as of the date set forth below (the “</w:t>
      </w:r>
      <w:r>
        <w:rPr>
          <w:rFonts w:ascii="Times New Roman;serif" w:hAnsi="Times New Roman;serif"/>
          <w:b w:val="false"/>
          <w:color w:val="000000"/>
          <w:sz w:val="20"/>
          <w:u w:val="single"/>
        </w:rPr>
        <w:t>Date of Grant</w:t>
      </w:r>
      <w:r>
        <w:rPr>
          <w:color w:val="000000"/>
        </w:rPr>
        <w:t>”</w:t>
      </w:r>
      <w:r>
        <w:rPr>
          <w:rFonts w:ascii="Times New Roman;serif" w:hAnsi="Times New Roman;serif"/>
          <w:b w:val="false"/>
          <w:color w:val="000000"/>
          <w:sz w:val="20"/>
        </w:rPr>
        <w:t>), a performance-based Restricted Stock Unit award (also referred to as a “Performance Share Unit” award) covering the number of units set forth below, each of which represents one Share of the Company’s Common Stock (the “</w:t>
      </w:r>
      <w:r>
        <w:rPr>
          <w:rFonts w:ascii="Times New Roman;serif" w:hAnsi="Times New Roman;serif"/>
          <w:b w:val="false"/>
          <w:color w:val="000000"/>
          <w:sz w:val="20"/>
          <w:u w:val="single"/>
        </w:rPr>
        <w:t>PSUs</w:t>
      </w:r>
      <w:r>
        <w:rPr>
          <w:color w:val="000000"/>
        </w:rPr>
        <w:t>”</w:t>
      </w:r>
      <w:r>
        <w:rPr>
          <w:rFonts w:ascii="Times New Roman;serif" w:hAnsi="Times New Roman;serif"/>
          <w:b w:val="false"/>
          <w:color w:val="000000"/>
          <w:sz w:val="20"/>
        </w:rPr>
        <w:t>). The PSUs are subject to all of the terms and conditions set forth in this Performance Share Unit Grant Notice (the “</w:t>
      </w:r>
      <w:r>
        <w:rPr>
          <w:rFonts w:ascii="Times New Roman;serif" w:hAnsi="Times New Roman;serif"/>
          <w:b w:val="false"/>
          <w:color w:val="000000"/>
          <w:sz w:val="20"/>
          <w:u w:val="single"/>
        </w:rPr>
        <w:t>Grant Notice</w:t>
      </w:r>
      <w:r>
        <w:rPr>
          <w:color w:val="000000"/>
        </w:rPr>
        <w:t>”</w:t>
      </w:r>
      <w:r>
        <w:rPr>
          <w:rFonts w:ascii="Times New Roman;serif" w:hAnsi="Times New Roman;serif"/>
          <w:b w:val="false"/>
          <w:color w:val="000000"/>
          <w:sz w:val="20"/>
        </w:rPr>
        <w:t>), the Performance Share Unit Agreement (the “</w:t>
      </w:r>
      <w:r>
        <w:rPr>
          <w:rFonts w:ascii="Times New Roman;serif" w:hAnsi="Times New Roman;serif"/>
          <w:b w:val="false"/>
          <w:color w:val="000000"/>
          <w:sz w:val="20"/>
          <w:u w:val="single"/>
        </w:rPr>
        <w:t>PSU Agreement</w:t>
      </w:r>
      <w:r>
        <w:rPr>
          <w:color w:val="000000"/>
        </w:rPr>
        <w:t>”</w:t>
      </w:r>
      <w:r>
        <w:rPr>
          <w:rFonts w:ascii="Times New Roman;serif" w:hAnsi="Times New Roman;serif"/>
          <w:b w:val="false"/>
          <w:color w:val="000000"/>
          <w:sz w:val="20"/>
        </w:rPr>
        <w:t>), the Performance Memorandum (the “</w:t>
      </w:r>
      <w:r>
        <w:rPr>
          <w:rFonts w:ascii="Times New Roman;serif" w:hAnsi="Times New Roman;serif"/>
          <w:b w:val="false"/>
          <w:color w:val="000000"/>
          <w:sz w:val="20"/>
          <w:u w:val="single"/>
        </w:rPr>
        <w:t>Performance Memo</w:t>
      </w:r>
      <w:r>
        <w:rPr>
          <w:color w:val="000000"/>
        </w:rPr>
        <w:t>”</w:t>
      </w:r>
      <w:r>
        <w:rPr>
          <w:rFonts w:ascii="Times New Roman;serif" w:hAnsi="Times New Roman;serif"/>
          <w:b w:val="false"/>
          <w:color w:val="000000"/>
          <w:sz w:val="20"/>
        </w:rPr>
        <w:t>) and the Plan, each of which are being provided to you with this Grant Notice and incorporated herein in their entirety. Capitalized terms not explicitly defined in this Grant Notice but defined in the Plan, the PSU Agreement, or the Performance Memo will have the same definitions as in the Plan, the PSU Agreement, or the Performance Memo. In the event of any conflict between the terms of the Grant Notice and the Plan, the terms of the Plan will control.</w:t>
      </w:r>
    </w:p>
    <w:tbl>
      <w:tblPr>
        <w:tblW w:w="10205" w:type="dxa"/>
        <w:jc w:val="left"/>
        <w:tblInd w:w="0" w:type="dxa"/>
        <w:tblLayout w:type="fixed"/>
        <w:tblCellMar>
          <w:top w:w="28" w:type="dxa"/>
          <w:left w:w="28" w:type="dxa"/>
          <w:bottom w:w="28" w:type="dxa"/>
          <w:right w:w="28" w:type="dxa"/>
        </w:tblCellMar>
      </w:tblPr>
      <w:tblGrid>
        <w:gridCol w:w="742"/>
        <w:gridCol w:w="653"/>
        <w:gridCol w:w="658"/>
        <w:gridCol w:w="2388"/>
        <w:gridCol w:w="2388"/>
        <w:gridCol w:w="3376"/>
      </w:tblGrid>
      <w:tr>
        <w:trPr/>
        <w:tc>
          <w:tcPr>
            <w:tcW w:w="742"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2388" w:type="dxa"/>
            <w:tcBorders/>
            <w:vAlign w:val="center"/>
          </w:tcPr>
          <w:p>
            <w:pPr>
              <w:pStyle w:val="TableContents"/>
              <w:bidi w:val="0"/>
              <w:spacing w:before="0" w:after="283"/>
              <w:jc w:val="left"/>
              <w:rPr>
                <w:sz w:val="4"/>
                <w:szCs w:val="4"/>
              </w:rPr>
            </w:pPr>
            <w:r>
              <w:rPr>
                <w:sz w:val="4"/>
                <w:szCs w:val="4"/>
              </w:rPr>
            </w:r>
          </w:p>
        </w:tc>
        <w:tc>
          <w:tcPr>
            <w:tcW w:w="2388" w:type="dxa"/>
            <w:tcBorders/>
            <w:vAlign w:val="center"/>
          </w:tcPr>
          <w:p>
            <w:pPr>
              <w:pStyle w:val="TableContents"/>
              <w:bidi w:val="0"/>
              <w:spacing w:before="0" w:after="283"/>
              <w:jc w:val="left"/>
              <w:rPr>
                <w:sz w:val="4"/>
                <w:szCs w:val="4"/>
              </w:rPr>
            </w:pPr>
            <w:r>
              <w:rPr>
                <w:sz w:val="4"/>
                <w:szCs w:val="4"/>
              </w:rPr>
            </w:r>
          </w:p>
        </w:tc>
        <w:tc>
          <w:tcPr>
            <w:tcW w:w="3376" w:type="dxa"/>
            <w:tcBorders/>
            <w:vAlign w:val="center"/>
          </w:tcPr>
          <w:p>
            <w:pPr>
              <w:pStyle w:val="TableContents"/>
              <w:bidi w:val="0"/>
              <w:spacing w:before="0" w:after="283"/>
              <w:jc w:val="left"/>
              <w:rPr>
                <w:sz w:val="4"/>
                <w:szCs w:val="4"/>
              </w:rPr>
            </w:pPr>
            <w:r>
              <w:rPr>
                <w:sz w:val="4"/>
                <w:szCs w:val="4"/>
              </w:rPr>
            </w:r>
          </w:p>
        </w:tc>
      </w:tr>
      <w:tr>
        <w:trPr/>
        <w:tc>
          <w:tcPr>
            <w:tcW w:w="2053" w:type="dxa"/>
            <w:gridSpan w:val="3"/>
            <w:tcBorders/>
            <w:tcMar>
              <w:top w:w="0" w:type="dxa"/>
              <w:left w:w="0" w:type="dxa"/>
              <w:bottom w:w="0" w:type="dxa"/>
              <w:right w:w="0" w:type="dxa"/>
            </w:tcMar>
            <w:vAlign w:val="center"/>
          </w:tcPr>
          <w:p>
            <w:pPr>
              <w:pStyle w:val="TableContents"/>
              <w:bidi w:val="0"/>
              <w:spacing w:lineRule="auto" w:line="290" w:before="0" w:after="240"/>
              <w:jc w:val="both"/>
              <w:rPr/>
            </w:pPr>
            <w:r>
              <w:rPr>
                <w:rFonts w:ascii="Times New Roman;serif" w:hAnsi="Times New Roman;serif"/>
                <w:b/>
                <w:color w:val="000000"/>
                <w:sz w:val="22"/>
              </w:rPr>
              <w:t>1.</w:t>
            </w:r>
            <w:r>
              <w:rPr>
                <w:rFonts w:ascii="Times New Roman;serif" w:hAnsi="Times New Roman;serif"/>
                <w:b/>
                <w:color w:val="000000"/>
                <w:sz w:val="20"/>
              </w:rPr>
              <w:t>Participant:</w:t>
            </w:r>
          </w:p>
        </w:tc>
        <w:tc>
          <w:tcPr>
            <w:tcW w:w="8152" w:type="dxa"/>
            <w:gridSpan w:val="3"/>
            <w:tcBorders/>
            <w:tcMar>
              <w:top w:w="0" w:type="dxa"/>
              <w:left w:w="0" w:type="dxa"/>
              <w:bottom w:w="0" w:type="dxa"/>
              <w:right w:w="0" w:type="dxa"/>
            </w:tcMar>
            <w:vAlign w:val="center"/>
          </w:tcPr>
          <w:p>
            <w:pPr>
              <w:pStyle w:val="TableContents"/>
              <w:bidi w:val="0"/>
              <w:spacing w:lineRule="auto" w:line="292"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__________ </w:t>
            </w:r>
          </w:p>
        </w:tc>
      </w:tr>
      <w:tr>
        <w:trPr/>
        <w:tc>
          <w:tcPr>
            <w:tcW w:w="2053" w:type="dxa"/>
            <w:gridSpan w:val="3"/>
            <w:tcBorders/>
            <w:tcMar>
              <w:top w:w="0" w:type="dxa"/>
              <w:left w:w="0" w:type="dxa"/>
              <w:bottom w:w="0" w:type="dxa"/>
              <w:right w:w="0" w:type="dxa"/>
            </w:tcMar>
            <w:vAlign w:val="center"/>
          </w:tcPr>
          <w:p>
            <w:pPr>
              <w:pStyle w:val="TableContents"/>
              <w:bidi w:val="0"/>
              <w:spacing w:lineRule="auto" w:line="290" w:before="0" w:after="240"/>
              <w:jc w:val="both"/>
              <w:rPr/>
            </w:pPr>
            <w:r>
              <w:rPr>
                <w:rFonts w:ascii="Times New Roman;serif" w:hAnsi="Times New Roman;serif"/>
                <w:b/>
                <w:color w:val="000000"/>
                <w:sz w:val="22"/>
              </w:rPr>
              <w:t>2.</w:t>
            </w:r>
            <w:r>
              <w:rPr>
                <w:rFonts w:ascii="Times New Roman;serif" w:hAnsi="Times New Roman;serif"/>
                <w:b/>
                <w:color w:val="000000"/>
                <w:sz w:val="20"/>
              </w:rPr>
              <w:t>Date of Grant:</w:t>
            </w:r>
          </w:p>
        </w:tc>
        <w:tc>
          <w:tcPr>
            <w:tcW w:w="8152" w:type="dxa"/>
            <w:gridSpan w:val="3"/>
            <w:tcBorders/>
            <w:tcMar>
              <w:top w:w="0" w:type="dxa"/>
              <w:left w:w="0" w:type="dxa"/>
              <w:bottom w:w="0" w:type="dxa"/>
              <w:right w:w="0" w:type="dxa"/>
            </w:tcMar>
            <w:vAlign w:val="center"/>
          </w:tcPr>
          <w:p>
            <w:pPr>
              <w:pStyle w:val="TableContents"/>
              <w:bidi w:val="0"/>
              <w:spacing w:lineRule="auto" w:line="292" w:before="0" w:after="240"/>
              <w:jc w:val="both"/>
              <w:rPr>
                <w:rFonts w:ascii="Times New Roman;serif" w:hAnsi="Times New Roman;serif"/>
                <w:b w:val="false"/>
                <w:color w:val="000000"/>
                <w:sz w:val="20"/>
              </w:rPr>
            </w:pPr>
            <w:r>
              <w:rPr>
                <w:rFonts w:ascii="Times New Roman;serif" w:hAnsi="Times New Roman;serif"/>
                <w:b w:val="false"/>
                <w:color w:val="000000"/>
                <w:sz w:val="20"/>
              </w:rPr>
              <w:t>__________</w:t>
            </w:r>
          </w:p>
        </w:tc>
      </w:tr>
      <w:tr>
        <w:trPr/>
        <w:tc>
          <w:tcPr>
            <w:tcW w:w="2053" w:type="dxa"/>
            <w:gridSpan w:val="3"/>
            <w:tcBorders/>
            <w:tcMar>
              <w:top w:w="0" w:type="dxa"/>
              <w:left w:w="0" w:type="dxa"/>
              <w:bottom w:w="0" w:type="dxa"/>
              <w:right w:w="0" w:type="dxa"/>
            </w:tcMar>
            <w:vAlign w:val="center"/>
          </w:tcPr>
          <w:p>
            <w:pPr>
              <w:pStyle w:val="TableContents"/>
              <w:bidi w:val="0"/>
              <w:spacing w:lineRule="auto" w:line="290" w:before="0" w:after="0"/>
              <w:jc w:val="both"/>
              <w:rPr/>
            </w:pPr>
            <w:r>
              <w:rPr>
                <w:rFonts w:ascii="Times New Roman;serif" w:hAnsi="Times New Roman;serif"/>
                <w:b/>
                <w:color w:val="000000"/>
                <w:sz w:val="22"/>
              </w:rPr>
              <w:t>3.</w:t>
            </w:r>
            <w:r>
              <w:rPr>
                <w:rFonts w:ascii="Times New Roman;serif" w:hAnsi="Times New Roman;serif"/>
                <w:b/>
                <w:color w:val="000000"/>
                <w:sz w:val="20"/>
              </w:rPr>
              <w:t xml:space="preserve">Vesting Commencement Date: </w:t>
            </w:r>
          </w:p>
          <w:p>
            <w:pPr>
              <w:pStyle w:val="TableContents"/>
              <w:bidi w:val="0"/>
              <w:spacing w:lineRule="auto" w:line="292" w:before="0" w:after="0"/>
              <w:ind w:left="0" w:right="0" w:firstLine="360"/>
              <w:jc w:val="both"/>
              <w:rPr/>
            </w:pPr>
            <w:r>
              <w:rPr>
                <w:rFonts w:ascii="sans-serif" w:hAnsi="sans-serif"/>
                <w:b/>
                <w:color w:val="000000"/>
                <w:sz w:val="22"/>
              </w:rPr>
              <w:t>4.</w:t>
            </w:r>
            <w:r>
              <w:rPr>
                <w:rFonts w:ascii="Times New Roman;serif" w:hAnsi="Times New Roman;serif"/>
                <w:b/>
                <w:color w:val="000000"/>
                <w:sz w:val="20"/>
              </w:rPr>
              <w:t>(the “Vesting Commencement Date”</w:t>
            </w:r>
          </w:p>
        </w:tc>
        <w:tc>
          <w:tcPr>
            <w:tcW w:w="8152" w:type="dxa"/>
            <w:gridSpan w:val="3"/>
            <w:tcBorders/>
            <w:tcMar>
              <w:top w:w="0" w:type="dxa"/>
              <w:left w:w="0" w:type="dxa"/>
              <w:bottom w:w="0" w:type="dxa"/>
              <w:right w:w="0" w:type="dxa"/>
            </w:tcMar>
            <w:vAlign w:val="center"/>
          </w:tcPr>
          <w:p>
            <w:pPr>
              <w:pStyle w:val="TableContents"/>
              <w:bidi w:val="0"/>
              <w:spacing w:lineRule="auto" w:line="292" w:before="0" w:after="240"/>
              <w:jc w:val="left"/>
              <w:rPr>
                <w:rFonts w:ascii="Times New Roman;serif" w:hAnsi="Times New Roman;serif"/>
                <w:b w:val="false"/>
                <w:color w:val="000000"/>
                <w:sz w:val="20"/>
              </w:rPr>
            </w:pPr>
            <w:r>
              <w:rPr>
                <w:rFonts w:ascii="Times New Roman;serif" w:hAnsi="Times New Roman;serif"/>
                <w:b w:val="false"/>
                <w:color w:val="000000"/>
                <w:sz w:val="20"/>
              </w:rPr>
              <w:t>__________</w:t>
            </w:r>
          </w:p>
        </w:tc>
      </w:tr>
      <w:tr>
        <w:trPr/>
        <w:tc>
          <w:tcPr>
            <w:tcW w:w="2053" w:type="dxa"/>
            <w:gridSpan w:val="3"/>
            <w:tcBorders/>
            <w:tcMar>
              <w:top w:w="0" w:type="dxa"/>
              <w:left w:w="0" w:type="dxa"/>
              <w:bottom w:w="0" w:type="dxa"/>
              <w:right w:w="0" w:type="dxa"/>
            </w:tcMar>
            <w:vAlign w:val="center"/>
          </w:tcPr>
          <w:p>
            <w:pPr>
              <w:pStyle w:val="TableContents"/>
              <w:bidi w:val="0"/>
              <w:spacing w:lineRule="auto" w:line="290" w:before="0" w:after="240"/>
              <w:jc w:val="left"/>
              <w:rPr/>
            </w:pPr>
            <w:r>
              <w:rPr>
                <w:rFonts w:ascii="Times New Roman;serif" w:hAnsi="Times New Roman;serif"/>
                <w:b/>
                <w:color w:val="000000"/>
                <w:sz w:val="22"/>
              </w:rPr>
              <w:t>4.</w:t>
            </w:r>
            <w:r>
              <w:rPr>
                <w:rFonts w:ascii="Times New Roman;serif" w:hAnsi="Times New Roman;serif"/>
                <w:b/>
                <w:color w:val="000000"/>
                <w:sz w:val="20"/>
              </w:rPr>
              <w:t>Number of PSUs (“</w:t>
            </w:r>
            <w:r>
              <w:rPr>
                <w:rFonts w:ascii="Times New Roman;serif" w:hAnsi="Times New Roman;serif"/>
                <w:b/>
                <w:color w:val="000000"/>
                <w:sz w:val="20"/>
                <w:u w:val="single"/>
              </w:rPr>
              <w:t>Target</w:t>
            </w:r>
            <w:r>
              <w:rPr>
                <w:color w:val="000000"/>
              </w:rPr>
              <w:t>”</w:t>
            </w:r>
            <w:r>
              <w:rPr>
                <w:rFonts w:ascii="Times New Roman;serif" w:hAnsi="Times New Roman;serif"/>
                <w:b/>
                <w:color w:val="000000"/>
                <w:sz w:val="20"/>
              </w:rPr>
              <w:t>):</w:t>
            </w:r>
          </w:p>
        </w:tc>
        <w:tc>
          <w:tcPr>
            <w:tcW w:w="8152" w:type="dxa"/>
            <w:gridSpan w:val="3"/>
            <w:tcBorders/>
            <w:tcMar>
              <w:top w:w="0" w:type="dxa"/>
              <w:left w:w="0" w:type="dxa"/>
              <w:bottom w:w="0" w:type="dxa"/>
              <w:right w:w="0" w:type="dxa"/>
            </w:tcMar>
            <w:vAlign w:val="center"/>
          </w:tcPr>
          <w:p>
            <w:pPr>
              <w:pStyle w:val="TableContents"/>
              <w:bidi w:val="0"/>
              <w:spacing w:lineRule="auto" w:line="292" w:before="0" w:after="240"/>
              <w:jc w:val="both"/>
              <w:rPr>
                <w:rFonts w:ascii="Times New Roman;serif" w:hAnsi="Times New Roman;serif"/>
                <w:b w:val="false"/>
                <w:color w:val="000000"/>
                <w:sz w:val="20"/>
              </w:rPr>
            </w:pPr>
            <w:r>
              <w:rPr>
                <w:rFonts w:ascii="Times New Roman;serif" w:hAnsi="Times New Roman;serif"/>
                <w:b w:val="false"/>
                <w:color w:val="000000"/>
                <w:sz w:val="20"/>
              </w:rPr>
              <w:t>__________</w:t>
            </w:r>
          </w:p>
        </w:tc>
      </w:tr>
      <w:tr>
        <w:trPr/>
        <w:tc>
          <w:tcPr>
            <w:tcW w:w="2053" w:type="dxa"/>
            <w:gridSpan w:val="3"/>
            <w:tcBorders/>
            <w:tcMar>
              <w:top w:w="0" w:type="dxa"/>
              <w:left w:w="0" w:type="dxa"/>
              <w:bottom w:w="0" w:type="dxa"/>
              <w:right w:w="0" w:type="dxa"/>
            </w:tcMar>
            <w:vAlign w:val="center"/>
          </w:tcPr>
          <w:p>
            <w:pPr>
              <w:pStyle w:val="TableContents"/>
              <w:bidi w:val="0"/>
              <w:spacing w:lineRule="auto" w:line="290" w:before="0" w:after="240"/>
              <w:jc w:val="both"/>
              <w:rPr/>
            </w:pPr>
            <w:r>
              <w:rPr>
                <w:rFonts w:ascii="Times New Roman;serif" w:hAnsi="Times New Roman;serif"/>
                <w:b/>
                <w:color w:val="000000"/>
                <w:sz w:val="22"/>
              </w:rPr>
              <w:t>5.</w:t>
            </w:r>
            <w:r>
              <w:rPr>
                <w:rFonts w:ascii="Times New Roman;serif" w:hAnsi="Times New Roman;serif"/>
                <w:b/>
                <w:color w:val="000000"/>
                <w:sz w:val="20"/>
              </w:rPr>
              <w:t>Normal Vesting Schedule:</w:t>
            </w:r>
          </w:p>
        </w:tc>
        <w:tc>
          <w:tcPr>
            <w:tcW w:w="8152" w:type="dxa"/>
            <w:gridSpan w:val="3"/>
            <w:tcBorders/>
            <w:tcMar>
              <w:top w:w="0" w:type="dxa"/>
              <w:left w:w="0" w:type="dxa"/>
              <w:bottom w:w="0" w:type="dxa"/>
              <w:right w:w="0" w:type="dxa"/>
            </w:tcMar>
            <w:vAlign w:val="center"/>
          </w:tcPr>
          <w:p>
            <w:pPr>
              <w:pStyle w:val="TableContents"/>
              <w:bidi w:val="0"/>
              <w:spacing w:lineRule="auto" w:line="292" w:before="0" w:after="240"/>
              <w:jc w:val="both"/>
              <w:rPr/>
            </w:pPr>
            <w:r>
              <w:rPr>
                <w:rFonts w:ascii="Times New Roman;serif" w:hAnsi="Times New Roman;serif"/>
                <w:b w:val="false"/>
                <w:color w:val="000000"/>
                <w:sz w:val="20"/>
              </w:rPr>
              <w:t>Except as provided below, up to 60% of the Target number of PSUs shall vest on the first anniversary of the Vesting Commencement Date and up to 20% of the Target number of PSUs shall vest on each of the second and third anniversaries of the Vesting Commencement Date (each such anniversary date, a “Vesting Date”), in each case, on the basis of the relative achievement of the applicable performance goals (the “</w:t>
            </w:r>
            <w:r>
              <w:rPr>
                <w:rFonts w:ascii="Times New Roman;serif" w:hAnsi="Times New Roman;serif"/>
                <w:b w:val="false"/>
                <w:color w:val="000000"/>
                <w:sz w:val="20"/>
                <w:u w:val="single"/>
              </w:rPr>
              <w:t>Performance Goals</w:t>
            </w:r>
            <w:r>
              <w:rPr>
                <w:color w:val="000000"/>
              </w:rPr>
              <w:t>”</w:t>
            </w:r>
            <w:r>
              <w:rPr>
                <w:rFonts w:ascii="Times New Roman;serif" w:hAnsi="Times New Roman;serif"/>
                <w:b w:val="false"/>
                <w:color w:val="000000"/>
                <w:sz w:val="20"/>
              </w:rPr>
              <w:t xml:space="preserve">) as set forth in the Performance Memo and approved by the Committee for the PSUs for each Vesting Date, subject to the Participant’s Continuous Service Status not being terminated prior to each such Vesting Date. Any PSUs that have not vested as provided herein on each Vesting Date will be forfeited automatically and without further notice following the applicable Vesting Date. </w:t>
            </w:r>
          </w:p>
        </w:tc>
      </w:tr>
      <w:tr>
        <w:trPr/>
        <w:tc>
          <w:tcPr>
            <w:tcW w:w="2053" w:type="dxa"/>
            <w:gridSpan w:val="3"/>
            <w:tcBorders/>
            <w:tcMar>
              <w:top w:w="0" w:type="dxa"/>
              <w:left w:w="0" w:type="dxa"/>
              <w:bottom w:w="0" w:type="dxa"/>
              <w:right w:w="0" w:type="dxa"/>
            </w:tcMar>
            <w:vAlign w:val="center"/>
          </w:tcPr>
          <w:p>
            <w:pPr>
              <w:pStyle w:val="TableContents"/>
              <w:bidi w:val="0"/>
              <w:spacing w:lineRule="auto" w:line="290" w:before="0" w:after="240"/>
              <w:jc w:val="both"/>
              <w:rPr/>
            </w:pPr>
            <w:r>
              <w:rPr>
                <w:rFonts w:ascii="Times New Roman;serif" w:hAnsi="Times New Roman;serif"/>
                <w:b/>
                <w:color w:val="000000"/>
                <w:sz w:val="22"/>
              </w:rPr>
              <w:t>6.</w:t>
            </w:r>
            <w:r>
              <w:rPr>
                <w:rFonts w:ascii="Times New Roman;serif" w:hAnsi="Times New Roman;serif"/>
                <w:b/>
                <w:color w:val="000000"/>
                <w:sz w:val="20"/>
              </w:rPr>
              <w:t>Termination of Continuous Service Status:</w:t>
            </w:r>
          </w:p>
        </w:tc>
        <w:tc>
          <w:tcPr>
            <w:tcW w:w="8152" w:type="dxa"/>
            <w:gridSpan w:val="3"/>
            <w:tcBorders/>
            <w:tcMar>
              <w:top w:w="0" w:type="dxa"/>
              <w:left w:w="0" w:type="dxa"/>
              <w:bottom w:w="0" w:type="dxa"/>
              <w:right w:w="0" w:type="dxa"/>
            </w:tcMar>
            <w:vAlign w:val="center"/>
          </w:tcPr>
          <w:p>
            <w:pPr>
              <w:pStyle w:val="TableContents"/>
              <w:bidi w:val="0"/>
              <w:spacing w:lineRule="auto" w:line="292" w:before="0" w:after="240"/>
              <w:jc w:val="both"/>
              <w:rPr>
                <w:rFonts w:ascii="Times New Roman;serif" w:hAnsi="Times New Roman;serif"/>
                <w:b w:val="false"/>
                <w:color w:val="000000"/>
                <w:sz w:val="20"/>
              </w:rPr>
            </w:pPr>
            <w:r>
              <w:rPr>
                <w:rFonts w:ascii="Times New Roman;serif" w:hAnsi="Times New Roman;serif"/>
                <w:b w:val="false"/>
                <w:color w:val="000000"/>
                <w:sz w:val="20"/>
              </w:rPr>
              <w:t>Subject to Sections 7 and 8 of this Grant Notice, in the event that Participant’s Continuous Service Status is terminated, the provisions of Section 7(b)(iv) of the Plan shall apply to the PSUs.</w:t>
            </w:r>
          </w:p>
        </w:tc>
      </w:tr>
    </w:tbl>
    <w:p>
      <w:pPr>
        <w:pStyle w:val="TextBody"/>
        <w:bidi w:val="0"/>
        <w:spacing w:before="0" w:after="160"/>
        <w:jc w:val="both"/>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175260"/>
                <wp:effectExtent l="0" t="0" r="0" b="0"/>
                <wp:wrapNone/>
                <wp:docPr id="162" name="Frame1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center"/>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412"/>
        <w:gridCol w:w="361"/>
        <w:gridCol w:w="364"/>
        <w:gridCol w:w="2655"/>
        <w:gridCol w:w="2655"/>
        <w:gridCol w:w="3758"/>
      </w:tblGrid>
      <w:tr>
        <w:trPr/>
        <w:tc>
          <w:tcPr>
            <w:tcW w:w="412"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2655" w:type="dxa"/>
            <w:tcBorders/>
            <w:vAlign w:val="center"/>
          </w:tcPr>
          <w:p>
            <w:pPr>
              <w:pStyle w:val="TableContents"/>
              <w:bidi w:val="0"/>
              <w:spacing w:before="0" w:after="283"/>
              <w:jc w:val="left"/>
              <w:rPr>
                <w:sz w:val="4"/>
                <w:szCs w:val="4"/>
              </w:rPr>
            </w:pPr>
            <w:r>
              <w:rPr>
                <w:sz w:val="4"/>
                <w:szCs w:val="4"/>
              </w:rPr>
            </w:r>
          </w:p>
        </w:tc>
        <w:tc>
          <w:tcPr>
            <w:tcW w:w="2655" w:type="dxa"/>
            <w:tcBorders/>
            <w:vAlign w:val="center"/>
          </w:tcPr>
          <w:p>
            <w:pPr>
              <w:pStyle w:val="TableContents"/>
              <w:bidi w:val="0"/>
              <w:spacing w:before="0" w:after="283"/>
              <w:jc w:val="left"/>
              <w:rPr>
                <w:sz w:val="4"/>
                <w:szCs w:val="4"/>
              </w:rPr>
            </w:pPr>
            <w:r>
              <w:rPr>
                <w:sz w:val="4"/>
                <w:szCs w:val="4"/>
              </w:rPr>
            </w:r>
          </w:p>
        </w:tc>
        <w:tc>
          <w:tcPr>
            <w:tcW w:w="3758" w:type="dxa"/>
            <w:tcBorders/>
            <w:vAlign w:val="center"/>
          </w:tcPr>
          <w:p>
            <w:pPr>
              <w:pStyle w:val="TableContents"/>
              <w:bidi w:val="0"/>
              <w:spacing w:before="0" w:after="283"/>
              <w:jc w:val="left"/>
              <w:rPr>
                <w:sz w:val="4"/>
                <w:szCs w:val="4"/>
              </w:rPr>
            </w:pPr>
            <w:r>
              <w:rPr>
                <w:sz w:val="4"/>
                <w:szCs w:val="4"/>
              </w:rPr>
            </w:r>
          </w:p>
        </w:tc>
      </w:tr>
      <w:tr>
        <w:trPr/>
        <w:tc>
          <w:tcPr>
            <w:tcW w:w="1137" w:type="dxa"/>
            <w:gridSpan w:val="3"/>
            <w:tcBorders/>
            <w:tcMar>
              <w:top w:w="0" w:type="dxa"/>
              <w:left w:w="0" w:type="dxa"/>
              <w:bottom w:w="0" w:type="dxa"/>
              <w:right w:w="0" w:type="dxa"/>
            </w:tcMar>
            <w:vAlign w:val="center"/>
          </w:tcPr>
          <w:p>
            <w:pPr>
              <w:pStyle w:val="TableContents"/>
              <w:bidi w:val="0"/>
              <w:spacing w:lineRule="auto" w:line="290" w:before="0" w:after="240"/>
              <w:jc w:val="both"/>
              <w:rPr/>
            </w:pPr>
            <w:r>
              <w:rPr>
                <w:rFonts w:ascii="Times New Roman;serif" w:hAnsi="Times New Roman;serif"/>
                <w:b/>
                <w:color w:val="000000"/>
                <w:sz w:val="22"/>
              </w:rPr>
              <w:t>7.</w:t>
            </w:r>
            <w:r>
              <w:rPr>
                <w:rFonts w:ascii="Times New Roman;serif" w:hAnsi="Times New Roman;serif"/>
                <w:b/>
                <w:color w:val="000000"/>
                <w:sz w:val="20"/>
              </w:rPr>
              <w:t>Alternate Vesting Schedule:</w:t>
            </w:r>
          </w:p>
        </w:tc>
        <w:tc>
          <w:tcPr>
            <w:tcW w:w="9068" w:type="dxa"/>
            <w:gridSpan w:val="3"/>
            <w:tcBorders/>
            <w:tcMar>
              <w:top w:w="0" w:type="dxa"/>
              <w:left w:w="0" w:type="dxa"/>
              <w:bottom w:w="0" w:type="dxa"/>
              <w:right w:w="0" w:type="dxa"/>
            </w:tcMar>
            <w:vAlign w:val="center"/>
          </w:tcPr>
          <w:p>
            <w:pPr>
              <w:pStyle w:val="TableContents"/>
              <w:bidi w:val="0"/>
              <w:spacing w:lineRule="auto" w:line="288" w:before="0" w:after="240"/>
              <w:ind w:left="0" w:right="0" w:hanging="346"/>
              <w:jc w:val="both"/>
              <w:rPr/>
            </w:pPr>
            <w:r>
              <w:rPr>
                <w:rFonts w:ascii="Times New Roman;serif" w:hAnsi="Times New Roman;serif"/>
                <w:b w:val="false"/>
                <w:color w:val="000000"/>
                <w:sz w:val="20"/>
              </w:rPr>
              <w:t>(a)</w:t>
            </w:r>
            <w:r>
              <w:rPr>
                <w:rFonts w:ascii="Times New Roman;serif" w:hAnsi="Times New Roman;serif"/>
                <w:b w:val="false"/>
                <w:i/>
                <w:color w:val="000000"/>
                <w:sz w:val="20"/>
              </w:rPr>
              <w:t>Death and Disability</w:t>
            </w:r>
            <w:r>
              <w:rPr>
                <w:rFonts w:ascii="Times New Roman;serif" w:hAnsi="Times New Roman;serif"/>
                <w:b w:val="false"/>
                <w:color w:val="000000"/>
                <w:sz w:val="20"/>
              </w:rPr>
              <w:t xml:space="preserve">. If Participant’s Continuous Service Status is terminated by reason of Participant’s death or Disability before the last Vesting Date all outstanding unvested PSUs that would have vested had Participant maintained Continuous Service Status during the 2-year period immediately following the date of such termination, will vest as of the date of such termination on the basis of the relative achievement of the applicable Performance Goals as set forth in the Performance Memo and any PSUs that do not vest upon such termination of Continuous Service Status shall terminate and be forfeited. </w:t>
            </w:r>
          </w:p>
          <w:p>
            <w:pPr>
              <w:pStyle w:val="TableContents"/>
              <w:bidi w:val="0"/>
              <w:spacing w:lineRule="auto" w:line="288" w:before="0" w:after="240"/>
              <w:ind w:left="0" w:right="0" w:hanging="346"/>
              <w:jc w:val="both"/>
              <w:rPr/>
            </w:pPr>
            <w:r>
              <w:rPr>
                <w:rFonts w:ascii="Times New Roman;serif" w:hAnsi="Times New Roman;serif"/>
                <w:b w:val="false"/>
                <w:color w:val="000000"/>
                <w:sz w:val="20"/>
              </w:rPr>
              <w:t>(b)</w:t>
            </w:r>
            <w:r>
              <w:rPr>
                <w:rFonts w:ascii="Times New Roman;serif" w:hAnsi="Times New Roman;serif"/>
                <w:b w:val="false"/>
                <w:i/>
                <w:color w:val="000000"/>
                <w:sz w:val="20"/>
              </w:rPr>
              <w:t>Retirement</w:t>
            </w:r>
            <w:r>
              <w:rPr>
                <w:rFonts w:ascii="Times New Roman;serif" w:hAnsi="Times New Roman;serif"/>
                <w:b w:val="false"/>
                <w:color w:val="000000"/>
                <w:sz w:val="20"/>
              </w:rPr>
              <w:t>. If Participant’s Continuous Service Status is terminated by Participant after the first anniversary of the Date of Grant but before the final Vesting Date due to Participant’s Retirement, all outstanding unvested PSUs will vest as of the date of such termination on the basis of the relative achievement of the applicable Performance Goals as set forth in the Performance Memo and any PSUs that do not vest upon such termination of Continuous Service Status shall terminate and be forfeited.</w:t>
            </w:r>
          </w:p>
          <w:p>
            <w:pPr>
              <w:pStyle w:val="TableContents"/>
              <w:bidi w:val="0"/>
              <w:spacing w:lineRule="auto" w:line="292" w:before="0" w:after="240"/>
              <w:jc w:val="both"/>
              <w:rPr/>
            </w:pPr>
            <w:r>
              <w:rPr>
                <w:rFonts w:ascii="Times New Roman;serif" w:hAnsi="Times New Roman;serif"/>
                <w:b w:val="false"/>
                <w:color w:val="000000"/>
                <w:sz w:val="20"/>
              </w:rPr>
              <w:t>For purposes of this Grant Notice, “</w:t>
            </w:r>
            <w:r>
              <w:rPr>
                <w:rFonts w:ascii="Times New Roman;serif" w:hAnsi="Times New Roman;serif"/>
                <w:b w:val="false"/>
                <w:color w:val="000000"/>
                <w:sz w:val="20"/>
                <w:u w:val="single"/>
              </w:rPr>
              <w:t>Retirement</w:t>
            </w:r>
            <w:r>
              <w:rPr>
                <w:color w:val="000000"/>
              </w:rPr>
              <w:t xml:space="preserve">” </w:t>
            </w:r>
            <w:r>
              <w:rPr>
                <w:rFonts w:ascii="Times New Roman;serif" w:hAnsi="Times New Roman;serif"/>
                <w:b w:val="false"/>
                <w:color w:val="000000"/>
                <w:sz w:val="20"/>
              </w:rPr>
              <w:t>means termination of Participant’s Continuous Service Status after the date on which the sum of Participant’s age and years of Continuous Service Status with the Company is equal to or greater than 65.</w:t>
            </w:r>
          </w:p>
          <w:p>
            <w:pPr>
              <w:pStyle w:val="TableContents"/>
              <w:bidi w:val="0"/>
              <w:spacing w:lineRule="auto" w:line="288" w:before="0" w:after="240"/>
              <w:ind w:left="0" w:right="0" w:hanging="346"/>
              <w:jc w:val="both"/>
              <w:rPr/>
            </w:pPr>
            <w:r>
              <w:rPr>
                <w:rFonts w:ascii="Times New Roman;serif" w:hAnsi="Times New Roman;serif"/>
                <w:b w:val="false"/>
                <w:color w:val="000000"/>
                <w:sz w:val="20"/>
              </w:rPr>
              <w:t>(c)</w:t>
            </w:r>
            <w:r>
              <w:rPr>
                <w:rFonts w:ascii="Times New Roman;serif" w:hAnsi="Times New Roman;serif"/>
                <w:b w:val="false"/>
                <w:i/>
                <w:color w:val="000000"/>
                <w:sz w:val="20"/>
              </w:rPr>
              <w:t>Qualifying Terminations Prior to a Change in Control</w:t>
            </w:r>
            <w:r>
              <w:rPr>
                <w:rFonts w:ascii="Times New Roman;serif" w:hAnsi="Times New Roman;serif"/>
                <w:b w:val="false"/>
                <w:color w:val="000000"/>
                <w:sz w:val="20"/>
              </w:rPr>
              <w:t>. If Participant’s Continuous Service Status is terminated by the Company without Cause or terminated by Participant for Good Reason, in each case, prior to (or more than 12 months after) a Change in Control and before the final Vesting Date, all outstanding unvested PSUs that would have vested had Participant maintained Continuous Service Status during the 2-year period immediately following the date of such termination will vest as of the date of such termination on the basis of the relative achievement of the applicable Performance Goals as set forth in the Performance Memo and any PSUs that do not vest upon such termination of Continuous Service Status shall terminate and be forfeited.</w:t>
            </w:r>
          </w:p>
          <w:p>
            <w:pPr>
              <w:pStyle w:val="TableContents"/>
              <w:bidi w:val="0"/>
              <w:spacing w:lineRule="auto" w:line="292" w:before="0" w:after="240"/>
              <w:jc w:val="both"/>
              <w:rPr>
                <w:rFonts w:ascii="Times New Roman;serif" w:hAnsi="Times New Roman;serif"/>
                <w:b w:val="false"/>
                <w:color w:val="000000"/>
                <w:sz w:val="20"/>
              </w:rPr>
            </w:pPr>
            <w:r>
              <w:rPr>
                <w:rFonts w:ascii="Times New Roman;serif" w:hAnsi="Times New Roman;serif"/>
                <w:b w:val="false"/>
                <w:color w:val="000000"/>
                <w:sz w:val="20"/>
              </w:rPr>
              <w:t>For the purposes of this Grant Notice:</w:t>
            </w:r>
          </w:p>
          <w:p>
            <w:pPr>
              <w:pStyle w:val="TableContents"/>
              <w:bidi w:val="0"/>
              <w:spacing w:lineRule="auto" w:line="288" w:before="0" w:after="240"/>
              <w:ind w:left="0" w:right="0" w:hanging="360"/>
              <w:jc w:val="both"/>
              <w:rPr/>
            </w:pPr>
            <w:r>
              <w:rPr>
                <w:rFonts w:ascii="Times New Roman;serif" w:hAnsi="Times New Roman;serif"/>
                <w:b w:val="false"/>
                <w:color w:val="000000"/>
                <w:sz w:val="20"/>
              </w:rPr>
              <w:t>(i)</w:t>
            </w:r>
            <w:r>
              <w:rPr>
                <w:color w:val="000000"/>
              </w:rPr>
              <w:t>“</w:t>
            </w:r>
            <w:r>
              <w:rPr>
                <w:rFonts w:ascii="Times New Roman;serif" w:hAnsi="Times New Roman;serif"/>
                <w:b w:val="false"/>
                <w:color w:val="000000"/>
                <w:sz w:val="20"/>
                <w:u w:val="single"/>
              </w:rPr>
              <w:t>Cause</w:t>
            </w:r>
            <w:r>
              <w:rPr>
                <w:color w:val="000000"/>
              </w:rPr>
              <w:t xml:space="preserve">” </w:t>
            </w:r>
            <w:r>
              <w:rPr>
                <w:rFonts w:ascii="Times New Roman;serif" w:hAnsi="Times New Roman;serif"/>
                <w:b w:val="false"/>
                <w:color w:val="000000"/>
                <w:sz w:val="20"/>
              </w:rPr>
              <w:t>has the meaning in the Amended and Restated Senior Management Agreement entered into between Participant and the Company dated as of November 10, 2020 (the “</w:t>
            </w:r>
            <w:r>
              <w:rPr>
                <w:rFonts w:ascii="Times New Roman;serif" w:hAnsi="Times New Roman;serif"/>
                <w:b w:val="false"/>
                <w:color w:val="000000"/>
                <w:sz w:val="20"/>
                <w:u w:val="single"/>
              </w:rPr>
              <w:t>Senior Management Agreement</w:t>
            </w:r>
            <w:r>
              <w:rPr>
                <w:color w:val="000000"/>
              </w:rPr>
              <w:t>”</w:t>
            </w:r>
            <w:r>
              <w:rPr>
                <w:rFonts w:ascii="Times New Roman;serif" w:hAnsi="Times New Roman;serif"/>
                <w:b w:val="false"/>
                <w:color w:val="000000"/>
                <w:sz w:val="20"/>
              </w:rPr>
              <w:t>).</w:t>
            </w:r>
          </w:p>
          <w:p>
            <w:pPr>
              <w:pStyle w:val="TableContents"/>
              <w:bidi w:val="0"/>
              <w:spacing w:lineRule="auto" w:line="288" w:before="0" w:after="240"/>
              <w:ind w:left="0" w:right="0" w:hanging="360"/>
              <w:jc w:val="both"/>
              <w:rPr/>
            </w:pPr>
            <w:r>
              <w:rPr>
                <w:rFonts w:ascii="Times New Roman;serif" w:hAnsi="Times New Roman;serif"/>
                <w:b w:val="false"/>
                <w:color w:val="000000"/>
                <w:sz w:val="20"/>
              </w:rPr>
              <w:t>(ii)</w:t>
            </w:r>
            <w:r>
              <w:rPr>
                <w:color w:val="000000"/>
              </w:rPr>
              <w:t>“</w:t>
            </w:r>
            <w:r>
              <w:rPr>
                <w:rFonts w:ascii="Times New Roman;serif" w:hAnsi="Times New Roman;serif"/>
                <w:b w:val="false"/>
                <w:color w:val="000000"/>
                <w:sz w:val="20"/>
                <w:u w:val="single"/>
              </w:rPr>
              <w:t>Good Reason</w:t>
            </w:r>
            <w:r>
              <w:rPr>
                <w:color w:val="000000"/>
              </w:rPr>
              <w:t xml:space="preserve">” </w:t>
            </w:r>
            <w:r>
              <w:rPr>
                <w:rFonts w:ascii="Times New Roman;serif" w:hAnsi="Times New Roman;serif"/>
                <w:b w:val="false"/>
                <w:color w:val="000000"/>
                <w:sz w:val="20"/>
              </w:rPr>
              <w:t>has the meaning in the Senior Management Agreement.</w:t>
            </w:r>
          </w:p>
          <w:p>
            <w:pPr>
              <w:pStyle w:val="TableContents"/>
              <w:bidi w:val="0"/>
              <w:spacing w:lineRule="auto" w:line="288" w:before="0" w:after="240"/>
              <w:ind w:left="0" w:right="0" w:hanging="360"/>
              <w:jc w:val="both"/>
              <w:rPr/>
            </w:pPr>
            <w:r>
              <w:rPr>
                <w:rFonts w:ascii="Times New Roman;serif" w:hAnsi="Times New Roman;serif"/>
                <w:b w:val="false"/>
                <w:color w:val="000000"/>
                <w:sz w:val="20"/>
              </w:rPr>
              <w:t>(iii)</w:t>
            </w:r>
            <w:r>
              <w:rPr>
                <w:color w:val="000000"/>
              </w:rPr>
              <w:t> “</w:t>
            </w:r>
            <w:r>
              <w:rPr>
                <w:rFonts w:ascii="Times New Roman;serif" w:hAnsi="Times New Roman;serif"/>
                <w:b w:val="false"/>
                <w:color w:val="000000"/>
                <w:sz w:val="20"/>
                <w:u w:val="single"/>
              </w:rPr>
              <w:t>Release Requirement</w:t>
            </w:r>
            <w:r>
              <w:rPr>
                <w:color w:val="000000"/>
              </w:rPr>
              <w:t xml:space="preserve">” </w:t>
            </w:r>
            <w:r>
              <w:rPr>
                <w:rFonts w:ascii="Times New Roman;serif" w:hAnsi="Times New Roman;serif"/>
                <w:b w:val="false"/>
                <w:color w:val="000000"/>
                <w:sz w:val="20"/>
              </w:rPr>
              <w:t>has the meaning in the Senior Management Agreement.</w:t>
            </w:r>
          </w:p>
        </w:tc>
      </w:tr>
    </w:tbl>
    <w:p>
      <w:pPr>
        <w:pStyle w:val="TextBody"/>
        <w:bidi w:val="0"/>
        <w:spacing w:before="0" w:after="160"/>
        <w:jc w:val="both"/>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146685"/>
                <wp:effectExtent l="0" t="0" r="0" b="0"/>
                <wp:wrapNone/>
                <wp:docPr id="163" name="Frame1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90" w:before="0" w:after="16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90" w:before="0" w:after="16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30"/>
        <w:gridCol w:w="289"/>
        <w:gridCol w:w="292"/>
        <w:gridCol w:w="2718"/>
        <w:gridCol w:w="2718"/>
        <w:gridCol w:w="3858"/>
      </w:tblGrid>
      <w:tr>
        <w:trPr/>
        <w:tc>
          <w:tcPr>
            <w:tcW w:w="330"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718" w:type="dxa"/>
            <w:tcBorders/>
            <w:vAlign w:val="center"/>
          </w:tcPr>
          <w:p>
            <w:pPr>
              <w:pStyle w:val="TableContents"/>
              <w:bidi w:val="0"/>
              <w:spacing w:before="0" w:after="283"/>
              <w:jc w:val="left"/>
              <w:rPr>
                <w:sz w:val="4"/>
                <w:szCs w:val="4"/>
              </w:rPr>
            </w:pPr>
            <w:r>
              <w:rPr>
                <w:sz w:val="4"/>
                <w:szCs w:val="4"/>
              </w:rPr>
            </w:r>
          </w:p>
        </w:tc>
        <w:tc>
          <w:tcPr>
            <w:tcW w:w="2718" w:type="dxa"/>
            <w:tcBorders/>
            <w:vAlign w:val="center"/>
          </w:tcPr>
          <w:p>
            <w:pPr>
              <w:pStyle w:val="TableContents"/>
              <w:bidi w:val="0"/>
              <w:spacing w:before="0" w:after="283"/>
              <w:jc w:val="left"/>
              <w:rPr>
                <w:sz w:val="4"/>
                <w:szCs w:val="4"/>
              </w:rPr>
            </w:pPr>
            <w:r>
              <w:rPr>
                <w:sz w:val="4"/>
                <w:szCs w:val="4"/>
              </w:rPr>
            </w:r>
          </w:p>
        </w:tc>
        <w:tc>
          <w:tcPr>
            <w:tcW w:w="3858" w:type="dxa"/>
            <w:tcBorders/>
            <w:vAlign w:val="center"/>
          </w:tcPr>
          <w:p>
            <w:pPr>
              <w:pStyle w:val="TableContents"/>
              <w:bidi w:val="0"/>
              <w:spacing w:before="0" w:after="283"/>
              <w:jc w:val="left"/>
              <w:rPr>
                <w:sz w:val="4"/>
                <w:szCs w:val="4"/>
              </w:rPr>
            </w:pPr>
            <w:r>
              <w:rPr>
                <w:sz w:val="4"/>
                <w:szCs w:val="4"/>
              </w:rPr>
            </w:r>
          </w:p>
        </w:tc>
      </w:tr>
      <w:tr>
        <w:trPr/>
        <w:tc>
          <w:tcPr>
            <w:tcW w:w="911" w:type="dxa"/>
            <w:gridSpan w:val="3"/>
            <w:tcBorders/>
            <w:tcMar>
              <w:top w:w="0" w:type="dxa"/>
              <w:left w:w="0" w:type="dxa"/>
              <w:bottom w:w="0" w:type="dxa"/>
              <w:right w:w="0" w:type="dxa"/>
            </w:tcMar>
            <w:vAlign w:val="center"/>
          </w:tcPr>
          <w:p>
            <w:pPr>
              <w:pStyle w:val="TableContents"/>
              <w:bidi w:val="0"/>
              <w:spacing w:lineRule="auto" w:line="290" w:before="0" w:after="240"/>
              <w:jc w:val="both"/>
              <w:rPr/>
            </w:pPr>
            <w:r>
              <w:rPr>
                <w:rFonts w:ascii="Times New Roman;serif" w:hAnsi="Times New Roman;serif"/>
                <w:b/>
                <w:color w:val="000000"/>
                <w:sz w:val="22"/>
              </w:rPr>
              <w:t>8.</w:t>
            </w:r>
            <w:r>
              <w:rPr>
                <w:rFonts w:ascii="Times New Roman;serif" w:hAnsi="Times New Roman;serif"/>
                <w:b/>
                <w:color w:val="000000"/>
                <w:sz w:val="20"/>
              </w:rPr>
              <w:t>Change in Control:</w:t>
            </w:r>
          </w:p>
        </w:tc>
        <w:tc>
          <w:tcPr>
            <w:tcW w:w="9294" w:type="dxa"/>
            <w:gridSpan w:val="3"/>
            <w:tcBorders/>
            <w:tcMar>
              <w:top w:w="0" w:type="dxa"/>
              <w:left w:w="0" w:type="dxa"/>
              <w:bottom w:w="0" w:type="dxa"/>
              <w:right w:w="0" w:type="dxa"/>
            </w:tcMar>
            <w:vAlign w:val="center"/>
          </w:tcPr>
          <w:p>
            <w:pPr>
              <w:pStyle w:val="TableContents"/>
              <w:bidi w:val="0"/>
              <w:spacing w:lineRule="auto" w:line="292" w:before="0" w:after="240"/>
              <w:jc w:val="both"/>
              <w:rPr/>
            </w:pPr>
            <w:r>
              <w:rPr>
                <w:rFonts w:ascii="Times New Roman;serif" w:hAnsi="Times New Roman;serif"/>
                <w:b w:val="false"/>
                <w:color w:val="000000"/>
                <w:sz w:val="20"/>
              </w:rPr>
              <w:t>If, at any time before the final Vesting Date, and while Participant maintains their Continuous Service Status, a Change in Control occurs and the PSUs are not assumed or substituted by the Acquiror or continued by the Company in connection with the Change in Control, then, the outstanding and unvested PSUs will vest as of the closing of such Change in Control on the basis of the relative achievement of the applicable Performance Goals as set forth in the Performance Memo and</w:t>
            </w:r>
            <w:r>
              <w:rPr>
                <w:color w:val="000000"/>
              </w:rPr>
              <w:t xml:space="preserve"> </w:t>
            </w:r>
            <w:r>
              <w:rPr>
                <w:rFonts w:ascii="Times New Roman;serif" w:hAnsi="Times New Roman;serif"/>
                <w:b w:val="false"/>
                <w:color w:val="000000"/>
                <w:sz w:val="20"/>
              </w:rPr>
              <w:t xml:space="preserve">any PSUs that do not vest upon such Change in Control shall terminate and be forfeited. </w:t>
            </w:r>
          </w:p>
          <w:p>
            <w:pPr>
              <w:pStyle w:val="TableContents"/>
              <w:bidi w:val="0"/>
              <w:spacing w:lineRule="auto" w:line="292" w:before="0" w:after="240"/>
              <w:jc w:val="both"/>
              <w:rPr/>
            </w:pPr>
            <w:r>
              <w:rPr>
                <w:rFonts w:ascii="Times New Roman;serif" w:hAnsi="Times New Roman;serif"/>
                <w:b w:val="false"/>
                <w:color w:val="000000"/>
                <w:sz w:val="20"/>
              </w:rPr>
              <w:t>In the event that in connection with a Change in Control the Acquiror assumes or substitutes or the Company continues the outstanding and unvested portion of the PSUs, the Performance Goals shall be treated as set forth in the Performance Memo for Vesting Dates following the Change in Control, and if the Participant’s Continuous Service Status is terminated without Cause by such Acquiror or the Company or terminated by Participant for Good Reason, in each case, within the 12-month period immediately following the closing of the Change in Control, the outstanding and unvested PSUs (as adjusted when assumed or substituted) will vest on the basis of the relative achievement of the applicable Performance Goals as set forth in the Performance Memo and</w:t>
            </w:r>
            <w:r>
              <w:rPr>
                <w:color w:val="000000"/>
              </w:rPr>
              <w:t xml:space="preserve"> </w:t>
            </w:r>
            <w:r>
              <w:rPr>
                <w:rFonts w:ascii="Times New Roman;serif" w:hAnsi="Times New Roman;serif"/>
                <w:b w:val="false"/>
                <w:color w:val="000000"/>
                <w:sz w:val="20"/>
              </w:rPr>
              <w:t xml:space="preserve">any PSUs that do not vest upon such termination of Continuous Service Status shall terminate and be forfeited. </w:t>
            </w:r>
          </w:p>
          <w:p>
            <w:pPr>
              <w:pStyle w:val="TableContents"/>
              <w:bidi w:val="0"/>
              <w:spacing w:lineRule="auto" w:line="292" w:before="0" w:after="240"/>
              <w:jc w:val="both"/>
              <w:rPr>
                <w:rFonts w:ascii="Times New Roman;serif" w:hAnsi="Times New Roman;serif"/>
                <w:b w:val="false"/>
                <w:color w:val="000000"/>
                <w:sz w:val="20"/>
              </w:rPr>
            </w:pPr>
            <w:r>
              <w:rPr>
                <w:rFonts w:ascii="Times New Roman;serif" w:hAnsi="Times New Roman;serif"/>
                <w:b w:val="false"/>
                <w:color w:val="000000"/>
                <w:sz w:val="20"/>
              </w:rPr>
              <w:t>In addition, if an Acquiror so assumes or substitutes or the Company so continues the unvested portion of the PSUs, notwithstanding any provision to the contrary, any outstanding PSUs which at the time of the Change in Control are not subject to a “substantial risk of forfeiture” (within the meaning of Section 409A of the Code) will be deemed to be vested at the time of such Change in Control and will be settled in accordance with Section 9 of this Grant Notice.</w:t>
            </w:r>
          </w:p>
        </w:tc>
      </w:tr>
    </w:tbl>
    <w:p>
      <w:pPr>
        <w:pStyle w:val="TextBody"/>
        <w:bidi w:val="0"/>
        <w:spacing w:before="0" w:after="160"/>
        <w:jc w:val="both"/>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146685"/>
                <wp:effectExtent l="0" t="0" r="0" b="0"/>
                <wp:wrapNone/>
                <wp:docPr id="164" name="Frame1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90" w:before="0" w:after="16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90" w:before="0" w:after="16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68"/>
        <w:gridCol w:w="323"/>
        <w:gridCol w:w="325"/>
        <w:gridCol w:w="2690"/>
        <w:gridCol w:w="2690"/>
        <w:gridCol w:w="3809"/>
      </w:tblGrid>
      <w:tr>
        <w:trPr/>
        <w:tc>
          <w:tcPr>
            <w:tcW w:w="368"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2690" w:type="dxa"/>
            <w:tcBorders/>
            <w:vAlign w:val="center"/>
          </w:tcPr>
          <w:p>
            <w:pPr>
              <w:pStyle w:val="TableContents"/>
              <w:bidi w:val="0"/>
              <w:spacing w:before="0" w:after="283"/>
              <w:jc w:val="left"/>
              <w:rPr>
                <w:sz w:val="4"/>
                <w:szCs w:val="4"/>
              </w:rPr>
            </w:pPr>
            <w:r>
              <w:rPr>
                <w:sz w:val="4"/>
                <w:szCs w:val="4"/>
              </w:rPr>
            </w:r>
          </w:p>
        </w:tc>
        <w:tc>
          <w:tcPr>
            <w:tcW w:w="2690" w:type="dxa"/>
            <w:tcBorders/>
            <w:vAlign w:val="center"/>
          </w:tcPr>
          <w:p>
            <w:pPr>
              <w:pStyle w:val="TableContents"/>
              <w:bidi w:val="0"/>
              <w:spacing w:before="0" w:after="283"/>
              <w:jc w:val="left"/>
              <w:rPr>
                <w:sz w:val="4"/>
                <w:szCs w:val="4"/>
              </w:rPr>
            </w:pPr>
            <w:r>
              <w:rPr>
                <w:sz w:val="4"/>
                <w:szCs w:val="4"/>
              </w:rPr>
            </w:r>
          </w:p>
        </w:tc>
        <w:tc>
          <w:tcPr>
            <w:tcW w:w="3809" w:type="dxa"/>
            <w:tcBorders/>
            <w:vAlign w:val="center"/>
          </w:tcPr>
          <w:p>
            <w:pPr>
              <w:pStyle w:val="TableContents"/>
              <w:bidi w:val="0"/>
              <w:spacing w:before="0" w:after="283"/>
              <w:jc w:val="left"/>
              <w:rPr>
                <w:sz w:val="4"/>
                <w:szCs w:val="4"/>
              </w:rPr>
            </w:pPr>
            <w:r>
              <w:rPr>
                <w:sz w:val="4"/>
                <w:szCs w:val="4"/>
              </w:rPr>
            </w:r>
          </w:p>
        </w:tc>
      </w:tr>
      <w:tr>
        <w:trPr/>
        <w:tc>
          <w:tcPr>
            <w:tcW w:w="1016" w:type="dxa"/>
            <w:gridSpan w:val="3"/>
            <w:tcBorders/>
            <w:tcMar>
              <w:top w:w="0" w:type="dxa"/>
              <w:left w:w="0" w:type="dxa"/>
              <w:bottom w:w="0" w:type="dxa"/>
              <w:right w:w="0" w:type="dxa"/>
            </w:tcMar>
            <w:vAlign w:val="center"/>
          </w:tcPr>
          <w:p>
            <w:pPr>
              <w:pStyle w:val="TableContents"/>
              <w:bidi w:val="0"/>
              <w:spacing w:lineRule="auto" w:line="290" w:before="0" w:after="240"/>
              <w:jc w:val="both"/>
              <w:rPr/>
            </w:pPr>
            <w:r>
              <w:rPr>
                <w:rFonts w:ascii="Times New Roman;serif" w:hAnsi="Times New Roman;serif"/>
                <w:b/>
                <w:color w:val="000000"/>
                <w:sz w:val="22"/>
              </w:rPr>
              <w:t>9.</w:t>
            </w:r>
            <w:r>
              <w:rPr>
                <w:rFonts w:ascii="Times New Roman;serif" w:hAnsi="Times New Roman;serif"/>
                <w:b/>
                <w:color w:val="000000"/>
                <w:sz w:val="20"/>
              </w:rPr>
              <w:t>Issuance Schedule:</w:t>
            </w:r>
          </w:p>
        </w:tc>
        <w:tc>
          <w:tcPr>
            <w:tcW w:w="9189" w:type="dxa"/>
            <w:gridSpan w:val="3"/>
            <w:tcBorders/>
            <w:tcMar>
              <w:top w:w="0" w:type="dxa"/>
              <w:left w:w="0" w:type="dxa"/>
              <w:bottom w:w="0" w:type="dxa"/>
              <w:right w:w="0" w:type="dxa"/>
            </w:tcMar>
            <w:vAlign w:val="center"/>
          </w:tcPr>
          <w:p>
            <w:pPr>
              <w:pStyle w:val="TableContents"/>
              <w:bidi w:val="0"/>
              <w:spacing w:lineRule="auto" w:line="292" w:before="0" w:after="240"/>
              <w:jc w:val="both"/>
              <w:rPr/>
            </w:pPr>
            <w:r>
              <w:rPr>
                <w:rFonts w:ascii="Times New Roman;serif" w:hAnsi="Times New Roman;serif"/>
                <w:b w:val="false"/>
                <w:i/>
                <w:color w:val="000000"/>
                <w:sz w:val="20"/>
              </w:rPr>
              <w:t>(a) General</w:t>
            </w:r>
            <w:r>
              <w:rPr>
                <w:rFonts w:ascii="Times New Roman;serif" w:hAnsi="Times New Roman;serif"/>
                <w:b w:val="false"/>
                <w:color w:val="000000"/>
                <w:sz w:val="20"/>
              </w:rPr>
              <w:t>. Subject to Sections 6 and 9(b) of this Grant Notice and Section 2 of the PSU Agreement, following each Vesting Date the Committee will certify the achievement of the Performance Goals and the number of PSUs vested on the applicable Vesting Date. The vested PSUs shall be settled in Shares within 30 days of the applicable Vesting Date.</w:t>
            </w:r>
          </w:p>
          <w:p>
            <w:pPr>
              <w:pStyle w:val="TableContents"/>
              <w:bidi w:val="0"/>
              <w:spacing w:lineRule="auto" w:line="242" w:before="0" w:after="240"/>
              <w:ind w:left="0" w:right="0" w:firstLine="40"/>
              <w:jc w:val="both"/>
              <w:rPr/>
            </w:pPr>
            <w:r>
              <w:rPr>
                <w:rFonts w:ascii="Times New Roman;serif" w:hAnsi="Times New Roman;serif"/>
                <w:b w:val="false"/>
                <w:color w:val="000000"/>
                <w:sz w:val="20"/>
              </w:rPr>
              <w:t xml:space="preserve">(b) </w:t>
            </w:r>
            <w:r>
              <w:rPr>
                <w:rFonts w:ascii="Times New Roman;serif" w:hAnsi="Times New Roman;serif"/>
                <w:b w:val="false"/>
                <w:i/>
                <w:color w:val="000000"/>
                <w:sz w:val="20"/>
              </w:rPr>
              <w:t>Other Settlement Dates</w:t>
            </w:r>
            <w:r>
              <w:rPr>
                <w:rFonts w:ascii="Times New Roman;serif" w:hAnsi="Times New Roman;serif"/>
                <w:b w:val="false"/>
                <w:color w:val="000000"/>
                <w:sz w:val="20"/>
              </w:rPr>
              <w:t>. Notwithstanding Section 9(a), to the extent that the PSUs are vested on the dates set forth below, the vested PSUs shall be settled in Shares as follows:</w:t>
            </w:r>
          </w:p>
          <w:p>
            <w:pPr>
              <w:pStyle w:val="TableContents"/>
              <w:bidi w:val="0"/>
              <w:spacing w:lineRule="auto" w:line="292" w:before="0" w:after="240"/>
              <w:ind w:left="0" w:right="0" w:firstLine="720"/>
              <w:jc w:val="both"/>
              <w:rPr/>
            </w:pPr>
            <w:r>
              <w:rPr>
                <w:rFonts w:ascii="Times New Roman;serif" w:hAnsi="Times New Roman;serif"/>
                <w:b w:val="false"/>
                <w:color w:val="000000"/>
                <w:sz w:val="20"/>
              </w:rPr>
              <w:t xml:space="preserve">(i) </w:t>
            </w:r>
            <w:r>
              <w:rPr>
                <w:rFonts w:ascii="Times New Roman;serif" w:hAnsi="Times New Roman;serif"/>
                <w:b w:val="false"/>
                <w:i/>
                <w:color w:val="000000"/>
                <w:sz w:val="20"/>
              </w:rPr>
              <w:t>Termination of Continuous Service Status or Death.</w:t>
            </w:r>
            <w:r>
              <w:rPr>
                <w:color w:val="000000"/>
              </w:rPr>
              <w:t xml:space="preserve"> </w:t>
            </w:r>
            <w:r>
              <w:rPr>
                <w:rFonts w:ascii="Times New Roman;serif" w:hAnsi="Times New Roman;serif"/>
                <w:b w:val="false"/>
                <w:color w:val="000000"/>
                <w:sz w:val="20"/>
              </w:rPr>
              <w:t>Within 60 days following the date of Participant’s termination of Continuous Service Status with the Company or death, any PSUs vested and deemed earned as of such termination or death shall be settled; provided, however, that if such termination of Continuous Service Status would not qualify as a “separation from service” as defined under Section 409A of the Code, and where Section 409A of the Code applies to such distribution, such vested PSUs shall be settled on the date that would have otherwise applied pursuant to Sections 9(a) or 9(b) of this Grant Notice.</w:t>
            </w:r>
          </w:p>
          <w:p>
            <w:pPr>
              <w:pStyle w:val="TableContents"/>
              <w:bidi w:val="0"/>
              <w:spacing w:lineRule="auto" w:line="292" w:before="0" w:after="240"/>
              <w:ind w:left="0" w:right="0" w:firstLine="720"/>
              <w:jc w:val="both"/>
              <w:rPr/>
            </w:pPr>
            <w:r>
              <w:rPr>
                <w:rFonts w:ascii="Times New Roman;serif" w:hAnsi="Times New Roman;serif"/>
                <w:b w:val="false"/>
                <w:color w:val="000000"/>
                <w:sz w:val="20"/>
              </w:rPr>
              <w:t>(ii)    </w:t>
            </w:r>
            <w:r>
              <w:rPr>
                <w:rFonts w:ascii="Times New Roman;serif" w:hAnsi="Times New Roman;serif"/>
                <w:b w:val="false"/>
                <w:i/>
                <w:color w:val="000000"/>
                <w:sz w:val="20"/>
              </w:rPr>
              <w:t>Change in Control.</w:t>
            </w:r>
            <w:r>
              <w:rPr>
                <w:color w:val="000000"/>
              </w:rPr>
              <w:t xml:space="preserve"> </w:t>
            </w:r>
            <w:r>
              <w:rPr>
                <w:rFonts w:ascii="Times New Roman;serif" w:hAnsi="Times New Roman;serif"/>
                <w:b w:val="false"/>
                <w:color w:val="000000"/>
                <w:sz w:val="20"/>
              </w:rPr>
              <w:t xml:space="preserve">Within 30 days following a Change in Control, any PSUs vested and deemed earned as of such Change in Control shall be settled; provided, however, that if such Change in Control would not qualify as a permissible date of distribution under Section 409A(a)(2)(A) of the Code, and where Section 409A of the Code applies to such distribution, such vested PSUs shall be settled on the date that would have otherwise applied pursuant to Sections 9(a) or 9(b) of this Grant Notice. </w:t>
            </w:r>
          </w:p>
          <w:p>
            <w:pPr>
              <w:pStyle w:val="TableContents"/>
              <w:bidi w:val="0"/>
              <w:spacing w:lineRule="auto" w:line="292" w:before="0" w:after="240"/>
              <w:jc w:val="both"/>
              <w:rPr/>
            </w:pPr>
            <w:r>
              <w:rPr>
                <w:rFonts w:ascii="Times New Roman;serif" w:hAnsi="Times New Roman;serif"/>
                <w:b w:val="false"/>
                <w:color w:val="000000"/>
                <w:sz w:val="20"/>
              </w:rPr>
              <w:t xml:space="preserve">(c) </w:t>
            </w:r>
            <w:r>
              <w:rPr>
                <w:rFonts w:ascii="Times New Roman;serif" w:hAnsi="Times New Roman;serif"/>
                <w:b w:val="false"/>
                <w:i/>
                <w:color w:val="000000"/>
                <w:sz w:val="20"/>
              </w:rPr>
              <w:t>Accelerated Payment.</w:t>
            </w:r>
            <w:r>
              <w:rPr>
                <w:color w:val="000000"/>
              </w:rPr>
              <w:t xml:space="preserve"> </w:t>
            </w:r>
            <w:r>
              <w:rPr>
                <w:rFonts w:ascii="Times New Roman;serif" w:hAnsi="Times New Roman;serif"/>
                <w:b w:val="false"/>
                <w:color w:val="000000"/>
                <w:sz w:val="20"/>
              </w:rPr>
              <w:t>Notwithstanding anything stated in this Grant Notice, in the PSU Agreement, the Plan or any other agreement applicable to the PSUs, the Company shall have the discretion to settle the PSUs prior to the time set forth herein to the extent permitted by Treasury Regulation Section 1.409A-3(j)(4).</w:t>
            </w:r>
          </w:p>
        </w:tc>
      </w:tr>
    </w:tbl>
    <w:p>
      <w:pPr>
        <w:pStyle w:val="TextBody"/>
        <w:bidi w:val="0"/>
        <w:spacing w:before="0" w:after="160"/>
        <w:jc w:val="both"/>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146685"/>
                <wp:effectExtent l="0" t="0" r="0" b="0"/>
                <wp:wrapNone/>
                <wp:docPr id="165" name="Frame1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90" w:before="0" w:after="16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90" w:before="0" w:after="16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515"/>
        <w:gridCol w:w="452"/>
        <w:gridCol w:w="454"/>
        <w:gridCol w:w="2572"/>
        <w:gridCol w:w="2572"/>
        <w:gridCol w:w="3640"/>
      </w:tblGrid>
      <w:tr>
        <w:trPr/>
        <w:tc>
          <w:tcPr>
            <w:tcW w:w="515"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2572" w:type="dxa"/>
            <w:tcBorders/>
            <w:vAlign w:val="center"/>
          </w:tcPr>
          <w:p>
            <w:pPr>
              <w:pStyle w:val="TableContents"/>
              <w:bidi w:val="0"/>
              <w:spacing w:before="0" w:after="283"/>
              <w:jc w:val="left"/>
              <w:rPr>
                <w:sz w:val="4"/>
                <w:szCs w:val="4"/>
              </w:rPr>
            </w:pPr>
            <w:r>
              <w:rPr>
                <w:sz w:val="4"/>
                <w:szCs w:val="4"/>
              </w:rPr>
            </w:r>
          </w:p>
        </w:tc>
        <w:tc>
          <w:tcPr>
            <w:tcW w:w="2572" w:type="dxa"/>
            <w:tcBorders/>
            <w:vAlign w:val="center"/>
          </w:tcPr>
          <w:p>
            <w:pPr>
              <w:pStyle w:val="TableContents"/>
              <w:bidi w:val="0"/>
              <w:spacing w:before="0" w:after="283"/>
              <w:jc w:val="left"/>
              <w:rPr>
                <w:sz w:val="4"/>
                <w:szCs w:val="4"/>
              </w:rPr>
            </w:pPr>
            <w:r>
              <w:rPr>
                <w:sz w:val="4"/>
                <w:szCs w:val="4"/>
              </w:rPr>
            </w:r>
          </w:p>
        </w:tc>
        <w:tc>
          <w:tcPr>
            <w:tcW w:w="3640" w:type="dxa"/>
            <w:tcBorders/>
            <w:vAlign w:val="center"/>
          </w:tcPr>
          <w:p>
            <w:pPr>
              <w:pStyle w:val="TableContents"/>
              <w:bidi w:val="0"/>
              <w:spacing w:before="0" w:after="283"/>
              <w:jc w:val="left"/>
              <w:rPr>
                <w:sz w:val="4"/>
                <w:szCs w:val="4"/>
              </w:rPr>
            </w:pPr>
            <w:r>
              <w:rPr>
                <w:sz w:val="4"/>
                <w:szCs w:val="4"/>
              </w:rPr>
            </w:r>
          </w:p>
        </w:tc>
      </w:tr>
      <w:tr>
        <w:trPr/>
        <w:tc>
          <w:tcPr>
            <w:tcW w:w="1421" w:type="dxa"/>
            <w:gridSpan w:val="3"/>
            <w:tcBorders/>
            <w:tcMar>
              <w:top w:w="0" w:type="dxa"/>
              <w:left w:w="0" w:type="dxa"/>
              <w:bottom w:w="0" w:type="dxa"/>
              <w:right w:w="0" w:type="dxa"/>
            </w:tcMar>
            <w:vAlign w:val="center"/>
          </w:tcPr>
          <w:p>
            <w:pPr>
              <w:pStyle w:val="TableContents"/>
              <w:bidi w:val="0"/>
              <w:spacing w:lineRule="auto" w:line="290" w:before="0" w:after="240"/>
              <w:jc w:val="both"/>
              <w:rPr/>
            </w:pPr>
            <w:r>
              <w:rPr>
                <w:rFonts w:ascii="Times New Roman;serif" w:hAnsi="Times New Roman;serif"/>
                <w:b/>
                <w:color w:val="000000"/>
                <w:sz w:val="22"/>
              </w:rPr>
              <w:t>10.</w:t>
            </w:r>
            <w:r>
              <w:rPr>
                <w:rFonts w:ascii="Times New Roman;serif" w:hAnsi="Times New Roman;serif"/>
                <w:b/>
                <w:color w:val="000000"/>
                <w:sz w:val="20"/>
              </w:rPr>
              <w:t>Tax Withholding Treatment:</w:t>
            </w:r>
          </w:p>
        </w:tc>
        <w:tc>
          <w:tcPr>
            <w:tcW w:w="8784" w:type="dxa"/>
            <w:gridSpan w:val="3"/>
            <w:tcBorders/>
            <w:tcMar>
              <w:top w:w="0" w:type="dxa"/>
              <w:left w:w="0" w:type="dxa"/>
              <w:bottom w:w="0" w:type="dxa"/>
              <w:right w:w="0" w:type="dxa"/>
            </w:tcMar>
            <w:vAlign w:val="center"/>
          </w:tcPr>
          <w:p>
            <w:pPr>
              <w:pStyle w:val="TableContents"/>
              <w:bidi w:val="0"/>
              <w:spacing w:lineRule="auto" w:line="292" w:before="0" w:after="240"/>
              <w:jc w:val="both"/>
              <w:rPr>
                <w:rFonts w:ascii="Times New Roman;serif" w:hAnsi="Times New Roman;serif"/>
                <w:b w:val="false"/>
                <w:color w:val="000000"/>
                <w:sz w:val="20"/>
              </w:rPr>
            </w:pPr>
            <w:r>
              <w:rPr>
                <w:rFonts w:ascii="Times New Roman;serif" w:hAnsi="Times New Roman;serif"/>
                <w:b w:val="false"/>
                <w:color w:val="000000"/>
                <w:sz w:val="20"/>
              </w:rPr>
              <w:t>As a condition to acceptance of this award of PSUs, to the greatest extent permitted under the Plan and Applicable Laws, and absent any contrary determination by the Committee, any Tax Withholding Obligations will be satisfied by the Company withholding a number of the Shares issuable upon settlement determined in accordance with Section 3 of the PSU Agreement and making payments from its own funds to the appropriate taxing authorities in an amount equal to the Tax Withholding Obligations. Any Shares so withheld shall be credited against such withholding requirements at the fair market value of such shares on the date of such withholding.</w:t>
            </w:r>
          </w:p>
          <w:p>
            <w:pPr>
              <w:pStyle w:val="TableContents"/>
              <w:bidi w:val="0"/>
              <w:spacing w:lineRule="auto" w:line="292" w:before="0" w:after="240"/>
              <w:jc w:val="both"/>
              <w:rPr>
                <w:rFonts w:ascii="Times New Roman;serif" w:hAnsi="Times New Roman;serif"/>
                <w:b w:val="false"/>
                <w:color w:val="000000"/>
                <w:sz w:val="20"/>
              </w:rPr>
            </w:pPr>
            <w:r>
              <w:rPr>
                <w:rFonts w:ascii="Times New Roman;serif" w:hAnsi="Times New Roman;serif"/>
                <w:b w:val="false"/>
                <w:color w:val="000000"/>
                <w:sz w:val="20"/>
              </w:rPr>
              <w:t>Notwithstanding the forgoing, if Participant is not a Company officer or Board member that is subject to Section 16 of the Exchange Act, the Company may adopt (in its discretion, without further Committee approval) such other treatment or program for such Tax Withholding Obligations, including requiring cash payments or other forms of payment as permitted under Section 9 of the Plan (limited to maximum permitted amounts), all as consistent with Section 26 of the Plan.</w:t>
            </w:r>
          </w:p>
          <w:p>
            <w:pPr>
              <w:pStyle w:val="TableContents"/>
              <w:bidi w:val="0"/>
              <w:spacing w:lineRule="auto" w:line="292" w:before="0" w:after="240"/>
              <w:jc w:val="both"/>
              <w:rPr>
                <w:rFonts w:ascii="Times New Roman;serif" w:hAnsi="Times New Roman;serif"/>
                <w:b w:val="false"/>
                <w:color w:val="000000"/>
                <w:sz w:val="20"/>
              </w:rPr>
            </w:pPr>
            <w:r>
              <w:rPr>
                <w:rFonts w:ascii="Times New Roman;serif" w:hAnsi="Times New Roman;serif"/>
                <w:b w:val="false"/>
                <w:color w:val="000000"/>
                <w:sz w:val="20"/>
              </w:rPr>
              <w:t>The Company may also enter into any other arrangement with the Participant to satisfy Participant’s Tax Withholding Obligations in accordance with Section 3 of the PSU Agreement.</w:t>
            </w:r>
          </w:p>
        </w:tc>
      </w:tr>
    </w:tbl>
    <w:p>
      <w:pPr>
        <w:pStyle w:val="TextBody"/>
        <w:bidi w:val="0"/>
        <w:spacing w:lineRule="auto" w:line="242"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By signing this Grant Notice or otherwise accepting this grant, Participant hereby agrees to all of the following:</w:t>
      </w:r>
    </w:p>
    <w:p>
      <w:pPr>
        <w:pStyle w:val="TextBody"/>
        <w:bidi w:val="0"/>
        <w:spacing w:lineRule="auto" w:line="292" w:before="0" w:after="240"/>
        <w:ind w:left="0" w:right="0" w:hanging="360"/>
        <w:jc w:val="both"/>
        <w:rPr/>
      </w:pPr>
      <w:r>
        <w:rPr>
          <w:color w:val="000000"/>
        </w:rPr>
        <w:t>•</w:t>
      </w:r>
      <w:r>
        <w:rPr>
          <w:rFonts w:ascii="Times New Roman;serif" w:hAnsi="Times New Roman;serif"/>
          <w:b w:val="false"/>
          <w:color w:val="000000"/>
          <w:sz w:val="20"/>
        </w:rPr>
        <w:t>This award of PSUs is granted under and governed by the terms and conditions of this Grant Notice, the Plan, the PSU Agreement (including any relevant Country-Specific Addendum), the Performance Memo and any ancillary documents.</w:t>
      </w:r>
    </w:p>
    <w:p>
      <w:pPr>
        <w:pStyle w:val="TextBody"/>
        <w:bidi w:val="0"/>
        <w:spacing w:lineRule="auto" w:line="292" w:before="0" w:after="240"/>
        <w:ind w:left="0" w:right="0" w:hanging="360"/>
        <w:jc w:val="both"/>
        <w:rPr/>
      </w:pPr>
      <w:r>
        <w:rPr>
          <w:color w:val="000000"/>
        </w:rPr>
        <w:t>•</w:t>
      </w:r>
      <w:r>
        <w:rPr>
          <w:rFonts w:ascii="Times New Roman;serif" w:hAnsi="Times New Roman;serif"/>
          <w:b w:val="false"/>
          <w:color w:val="000000"/>
          <w:sz w:val="20"/>
        </w:rPr>
        <w:t>Participant acknowledges and agrees that Participant will incur and is responsible for satisfaction of the Tax Withholding Obligations in connection with this award of PSUs and that, unless otherwise directed by the Committee, the Company and/or the Employer will mandate arrangements with the Participant to satisfy such Tax Withholding Obligations in accordance with Section 3 of the PSU Agreement, including, but not limited to, the arrangements described herein.</w:t>
      </w:r>
    </w:p>
    <w:p>
      <w:pPr>
        <w:pStyle w:val="TextBody"/>
        <w:bidi w:val="0"/>
        <w:spacing w:lineRule="auto" w:line="292" w:before="0" w:after="240"/>
        <w:ind w:left="0" w:right="0" w:hanging="360"/>
        <w:jc w:val="both"/>
        <w:rPr/>
      </w:pPr>
      <w:r>
        <w:rPr>
          <w:color w:val="000000"/>
        </w:rPr>
        <w:t>•</w:t>
      </w:r>
      <w:r>
        <w:rPr>
          <w:rFonts w:ascii="Times New Roman;serif" w:hAnsi="Times New Roman;serif"/>
          <w:b w:val="false"/>
          <w:color w:val="000000"/>
          <w:sz w:val="20"/>
        </w:rPr>
        <w:t>Participant acknowledges and agrees that Participant has reviewed the Plan, the Performance Memo and the PSU Agreement in their entirety, has had an opportunity to obtain the advice of counsel prior to accepting the PSUs, and fully understands all provisions of the Plan, the Performance Memo, this Grant Notice and the PSU Agreement. Participant consents to the vesting schedules set forth in this Grant Notice and agrees that the applicable vesting schedules comply with (or shall be deemed to comply with) any Company obligations to provide certain vesting protections under any contract between the Company and Participant.</w:t>
      </w:r>
    </w:p>
    <w:p>
      <w:pPr>
        <w:pStyle w:val="TextBody"/>
        <w:bidi w:val="0"/>
        <w:spacing w:lineRule="auto" w:line="292" w:before="0" w:after="240"/>
        <w:ind w:left="0" w:right="0" w:hanging="360"/>
        <w:jc w:val="both"/>
        <w:rPr/>
      </w:pPr>
      <w:r>
        <w:rPr>
          <w:color w:val="000000"/>
        </w:rPr>
        <w:t>•</w:t>
      </w:r>
      <w:r>
        <w:rPr>
          <w:rFonts w:ascii="Times New Roman;serif" w:hAnsi="Times New Roman;serif"/>
          <w:b w:val="false"/>
          <w:color w:val="000000"/>
          <w:sz w:val="20"/>
        </w:rPr>
        <w:t>Participant acknowledges and agrees that Participant has read the Company’s Insider Trading Policy, and agrees to comply with such policy, as it may be amended from time to time.</w:t>
      </w:r>
    </w:p>
    <w:p>
      <w:pPr>
        <w:pStyle w:val="TextBody"/>
        <w:bidi w:val="0"/>
        <w:spacing w:lineRule="auto" w:line="292" w:before="0" w:after="240"/>
        <w:ind w:left="0" w:right="0" w:hanging="360"/>
        <w:jc w:val="both"/>
        <w:rPr/>
      </w:pPr>
      <w:r>
        <w:rPr>
          <w:color w:val="000000"/>
        </w:rPr>
        <w:t>•</w:t>
      </w:r>
      <w:r>
        <w:rPr>
          <w:rFonts w:ascii="Times New Roman;serif" w:hAnsi="Times New Roman;serif"/>
          <w:b w:val="false"/>
          <w:color w:val="000000"/>
          <w:sz w:val="20"/>
        </w:rPr>
        <w:t>Participant agrees to accept as binding, conclusive and final all decisions or interpretations of the Administrator upon any questions relating to the Plan, the Performance Memo and PSU Agreement.</w:t>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160"/>
        <w:jc w:val="both"/>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146685"/>
                <wp:effectExtent l="0" t="0" r="0" b="0"/>
                <wp:wrapNone/>
                <wp:docPr id="166" name="Frame1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90" w:before="0" w:after="16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90" w:before="0" w:after="16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240"/>
        <w:jc w:val="both"/>
        <w:rPr/>
      </w:pPr>
      <w:r>
        <w:rPr/>
      </w:r>
    </w:p>
    <w:tbl>
      <w:tblPr>
        <w:tblW w:w="1349" w:type="dxa"/>
        <w:jc w:val="left"/>
        <w:tblInd w:w="0" w:type="dxa"/>
        <w:tblLayout w:type="fixed"/>
        <w:tblCellMar>
          <w:top w:w="28" w:type="dxa"/>
          <w:left w:w="28" w:type="dxa"/>
          <w:bottom w:w="28" w:type="dxa"/>
          <w:right w:w="28" w:type="dxa"/>
        </w:tblCellMar>
      </w:tblPr>
      <w:tblGrid>
        <w:gridCol w:w="432"/>
        <w:gridCol w:w="378"/>
        <w:gridCol w:w="539"/>
      </w:tblGrid>
      <w:tr>
        <w:trPr/>
        <w:tc>
          <w:tcPr>
            <w:tcW w:w="432"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r>
      <w:tr>
        <w:trPr/>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90" w:before="0" w:after="160"/>
              <w:jc w:val="both"/>
              <w:rPr>
                <w:rFonts w:ascii="Times New Roman;serif" w:hAnsi="Times New Roman;serif"/>
                <w:b w:val="false"/>
                <w:color w:val="000000"/>
                <w:sz w:val="20"/>
              </w:rPr>
            </w:pPr>
            <w:r>
              <w:rPr>
                <w:rFonts w:ascii="Times New Roman;serif" w:hAnsi="Times New Roman;serif"/>
                <w:b w:val="false"/>
                <w:color w:val="000000"/>
                <w:sz w:val="20"/>
              </w:rPr>
              <w:t>Name</w:t>
            </w:r>
          </w:p>
        </w:tc>
      </w:tr>
      <w:tr>
        <w:trPr/>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90" w:before="0" w:after="160"/>
              <w:jc w:val="both"/>
              <w:rPr>
                <w:rFonts w:ascii="Times New Roman;serif" w:hAnsi="Times New Roman;serif"/>
                <w:b w:val="false"/>
                <w:color w:val="000000"/>
                <w:sz w:val="20"/>
              </w:rPr>
            </w:pPr>
            <w:r>
              <w:rPr>
                <w:rFonts w:ascii="Times New Roman;serif" w:hAnsi="Times New Roman;serif"/>
                <w:b w:val="false"/>
                <w:color w:val="000000"/>
                <w:sz w:val="20"/>
              </w:rPr>
              <w:t>Date Accepted</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60"/>
        <w:jc w:val="both"/>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146685"/>
                <wp:effectExtent l="0" t="0" r="0" b="0"/>
                <wp:wrapNone/>
                <wp:docPr id="167" name="Frame1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90" w:before="0" w:after="16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90" w:before="0" w:after="16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92" w:before="0" w:after="240"/>
        <w:jc w:val="center"/>
        <w:rPr/>
      </w:pPr>
      <w:r>
        <w:rPr>
          <w:rFonts w:ascii="Times New Roman;serif" w:hAnsi="Times New Roman;serif"/>
          <w:b/>
          <w:color w:val="000000"/>
          <w:sz w:val="20"/>
        </w:rPr>
        <w:t xml:space="preserve">SOTERA HEALTH COMPANY </w:t>
        <w:br/>
        <w:br/>
        <w:t>2020 OMNIBUS INCENTIVE PLAN</w:t>
        <w:br/>
        <w:br/>
      </w:r>
      <w:r>
        <w:rPr>
          <w:rFonts w:ascii="Times New Roman;serif" w:hAnsi="Times New Roman;serif"/>
          <w:b/>
          <w:color w:val="000000"/>
          <w:sz w:val="20"/>
          <w:u w:val="single"/>
        </w:rPr>
        <w:t>PERFORMANCE SHARE UNIT AGREEMENT</w:t>
      </w:r>
    </w:p>
    <w:p>
      <w:pPr>
        <w:pStyle w:val="TextBody"/>
        <w:bidi w:val="0"/>
        <w:spacing w:lineRule="auto" w:line="288" w:before="0" w:after="240"/>
        <w:ind w:left="0" w:right="0" w:firstLine="720"/>
        <w:jc w:val="both"/>
        <w:rPr/>
      </w:pPr>
      <w:r>
        <w:rPr>
          <w:rFonts w:ascii="Times New Roman;serif" w:hAnsi="Times New Roman;serif"/>
          <w:b w:val="false"/>
          <w:color w:val="000000"/>
          <w:sz w:val="20"/>
        </w:rPr>
        <w:t>Pursuant to your Performance Share Unit Grant Notice (the “</w:t>
      </w:r>
      <w:r>
        <w:rPr>
          <w:rFonts w:ascii="Times New Roman;serif" w:hAnsi="Times New Roman;serif"/>
          <w:b w:val="false"/>
          <w:color w:val="000000"/>
          <w:sz w:val="20"/>
          <w:u w:val="single"/>
        </w:rPr>
        <w:t>Grant Notice</w:t>
      </w:r>
      <w:r>
        <w:rPr>
          <w:color w:val="000000"/>
        </w:rPr>
        <w:t>”</w:t>
      </w:r>
      <w:r>
        <w:rPr>
          <w:rFonts w:ascii="Times New Roman;serif" w:hAnsi="Times New Roman;serif"/>
          <w:b w:val="false"/>
          <w:color w:val="000000"/>
          <w:sz w:val="20"/>
        </w:rPr>
        <w:t>) and this Performance Share Unit Agreement (the “</w:t>
      </w:r>
      <w:r>
        <w:rPr>
          <w:rFonts w:ascii="Times New Roman;serif" w:hAnsi="Times New Roman;serif"/>
          <w:b w:val="false"/>
          <w:color w:val="000000"/>
          <w:sz w:val="20"/>
          <w:u w:val="single"/>
        </w:rPr>
        <w:t>Agreement</w:t>
      </w:r>
      <w:r>
        <w:rPr>
          <w:color w:val="000000"/>
        </w:rPr>
        <w:t>”</w:t>
      </w:r>
      <w:r>
        <w:rPr>
          <w:rFonts w:ascii="Times New Roman;serif" w:hAnsi="Times New Roman;serif"/>
          <w:b w:val="false"/>
          <w:color w:val="000000"/>
          <w:sz w:val="20"/>
        </w:rPr>
        <w:t>), Sotera Health Company, a Delaware corporation (the “</w:t>
      </w:r>
      <w:r>
        <w:rPr>
          <w:rFonts w:ascii="Times New Roman;serif" w:hAnsi="Times New Roman;serif"/>
          <w:b w:val="false"/>
          <w:color w:val="000000"/>
          <w:sz w:val="20"/>
          <w:u w:val="single"/>
        </w:rPr>
        <w:t>Company</w:t>
      </w:r>
      <w:r>
        <w:rPr>
          <w:color w:val="000000"/>
        </w:rPr>
        <w:t>”</w:t>
      </w:r>
      <w:r>
        <w:rPr>
          <w:rFonts w:ascii="Times New Roman;serif" w:hAnsi="Times New Roman;serif"/>
          <w:b w:val="false"/>
          <w:color w:val="000000"/>
          <w:sz w:val="20"/>
        </w:rPr>
        <w:t>), has granted you (the “</w:t>
      </w:r>
      <w:r>
        <w:rPr>
          <w:rFonts w:ascii="Times New Roman;serif" w:hAnsi="Times New Roman;serif"/>
          <w:b w:val="false"/>
          <w:color w:val="000000"/>
          <w:sz w:val="20"/>
          <w:u w:val="single"/>
        </w:rPr>
        <w:t>Participant</w:t>
      </w:r>
      <w:r>
        <w:rPr>
          <w:color w:val="000000"/>
        </w:rPr>
        <w:t>”</w:t>
      </w:r>
      <w:r>
        <w:rPr>
          <w:rFonts w:ascii="Times New Roman;serif" w:hAnsi="Times New Roman;serif"/>
          <w:b w:val="false"/>
          <w:color w:val="000000"/>
          <w:sz w:val="20"/>
        </w:rPr>
        <w:t>), as of the Date of Grant set forth in the Grant Notice, a performance-based Restricted Stock Unit award (also referred to as a “Performance Share Unit” award) covering the number of units set forth in your Grant Notice, each of which represents one Share of the Company’s Common Stock (the “</w:t>
      </w:r>
      <w:r>
        <w:rPr>
          <w:rFonts w:ascii="Times New Roman;serif" w:hAnsi="Times New Roman;serif"/>
          <w:b w:val="false"/>
          <w:color w:val="000000"/>
          <w:sz w:val="20"/>
          <w:u w:val="single"/>
        </w:rPr>
        <w:t>PSUs</w:t>
      </w:r>
      <w:r>
        <w:rPr>
          <w:color w:val="000000"/>
        </w:rPr>
        <w:t>”</w:t>
      </w:r>
      <w:r>
        <w:rPr>
          <w:rFonts w:ascii="Times New Roman;serif" w:hAnsi="Times New Roman;serif"/>
          <w:b w:val="false"/>
          <w:color w:val="000000"/>
          <w:sz w:val="20"/>
        </w:rPr>
        <w:t>) pursuant to the Company’s 2020 Omnibus Incentive Plan and any applicable sub-plan for a particular country (together, the “</w:t>
      </w:r>
      <w:r>
        <w:rPr>
          <w:rFonts w:ascii="Times New Roman;serif" w:hAnsi="Times New Roman;serif"/>
          <w:b w:val="false"/>
          <w:color w:val="000000"/>
          <w:sz w:val="20"/>
          <w:u w:val="single"/>
        </w:rPr>
        <w:t>Plan</w:t>
      </w:r>
      <w:r>
        <w:rPr>
          <w:color w:val="000000"/>
        </w:rPr>
        <w:t>”</w:t>
      </w:r>
      <w:r>
        <w:rPr>
          <w:rFonts w:ascii="Times New Roman;serif" w:hAnsi="Times New Roman;serif"/>
          <w:b w:val="false"/>
          <w:color w:val="000000"/>
          <w:sz w:val="20"/>
        </w:rPr>
        <w:t>). Capitalized terms not explicitly defined in this Agreement but defined in the Plan or in the Grant Notice shall have the meaning ascribed to them in the Plan or in the Grant Notice. In the event of any conflict between the terms of this Agreement and the Plan, the terms of the Plan will control.</w:t>
      </w:r>
    </w:p>
    <w:p>
      <w:pPr>
        <w:pStyle w:val="TextBody"/>
        <w:bidi w:val="0"/>
        <w:spacing w:lineRule="auto" w:line="290" w:before="0" w:after="240"/>
        <w:ind w:left="0" w:right="0" w:firstLine="720"/>
        <w:jc w:val="both"/>
        <w:rPr/>
      </w:pPr>
      <w:r>
        <w:rPr>
          <w:rFonts w:ascii="Times New Roman;serif" w:hAnsi="Times New Roman;serif"/>
          <w:b w:val="false"/>
          <w:color w:val="000000"/>
          <w:sz w:val="22"/>
        </w:rPr>
        <w:t>1.</w:t>
      </w:r>
      <w:r>
        <w:rPr>
          <w:rFonts w:ascii="Times New Roman;serif" w:hAnsi="Times New Roman;serif"/>
          <w:b/>
          <w:color w:val="000000"/>
          <w:sz w:val="20"/>
          <w:u w:val="single"/>
        </w:rPr>
        <w:t>No Stockholder Rights</w:t>
      </w:r>
      <w:r>
        <w:rPr>
          <w:rFonts w:ascii="Times New Roman;serif" w:hAnsi="Times New Roman;serif"/>
          <w:b w:val="false"/>
          <w:color w:val="000000"/>
          <w:sz w:val="20"/>
        </w:rPr>
        <w:t>. Unless and until such time as Shares are issued pursuant to the Agreement in settlement of vested PSUs, Participant shall have no ownership of the Shares allocated to the PSUs, including, without limitation, no right to dividends (or dividend equivalents) or to vote such Shares.</w:t>
      </w:r>
    </w:p>
    <w:p>
      <w:pPr>
        <w:pStyle w:val="TextBody"/>
        <w:bidi w:val="0"/>
        <w:spacing w:lineRule="auto" w:line="290" w:before="0" w:after="240"/>
        <w:ind w:left="0" w:right="0" w:firstLine="720"/>
        <w:jc w:val="both"/>
        <w:rPr/>
      </w:pPr>
      <w:r>
        <w:rPr>
          <w:rFonts w:ascii="Times New Roman;serif" w:hAnsi="Times New Roman;serif"/>
          <w:b w:val="false"/>
          <w:color w:val="000000"/>
          <w:sz w:val="22"/>
        </w:rPr>
        <w:t>2.</w:t>
      </w:r>
      <w:r>
        <w:rPr>
          <w:rFonts w:ascii="Times New Roman;serif" w:hAnsi="Times New Roman;serif"/>
          <w:b/>
          <w:color w:val="000000"/>
          <w:sz w:val="20"/>
          <w:u w:val="single"/>
        </w:rPr>
        <w:t>Termination</w:t>
      </w:r>
      <w:r>
        <w:rPr>
          <w:rFonts w:ascii="Times New Roman;serif" w:hAnsi="Times New Roman;serif"/>
          <w:b w:val="false"/>
          <w:color w:val="000000"/>
          <w:sz w:val="20"/>
        </w:rPr>
        <w:t>. Except as otherwise provided in the Plan or Grant Notice, if Participant’s Continuous Service Status terminates at any time for any reason (including death or Disability), all PSUs for which vesting is no longer possible under the terms of the Grant Notice and this Agreement shall be forfeited to the Company on the date of such termination of Continuous Service Status, and all rights of Participant to such PSUs shall immediately terminate at such time. Subject to Applicable Law, in the event Participant’s Continuous Service Status is terminated by the Participant’s employer (together with the Participant’s former employer (if applicable), the “</w:t>
      </w:r>
      <w:r>
        <w:rPr>
          <w:rFonts w:ascii="Times New Roman;serif" w:hAnsi="Times New Roman;serif"/>
          <w:b w:val="false"/>
          <w:color w:val="000000"/>
          <w:sz w:val="20"/>
          <w:u w:val="single"/>
        </w:rPr>
        <w:t>Employer</w:t>
      </w:r>
      <w:r>
        <w:rPr>
          <w:color w:val="000000"/>
        </w:rPr>
        <w:t>”</w:t>
      </w:r>
      <w:r>
        <w:rPr>
          <w:rFonts w:ascii="Times New Roman;serif" w:hAnsi="Times New Roman;serif"/>
          <w:b w:val="false"/>
          <w:color w:val="000000"/>
          <w:sz w:val="20"/>
        </w:rPr>
        <w:t>) for Cause, then Participant’s vested but unsettled PSUs will also be forfeited upon the date of such termination, and Participant will have no further rights or interests with respect to such vested PSUs. Further, unless otherwise approved by the Company, Participant’s right to vest in the PSUs will terminate as of such date and will not be extended by any contractual notice period or any period of “garden leave” or similar notice period mandated under employment laws in the jurisdiction where Participant is employed or the terms of Participant’s employment agreement, if any. To the extent permitted by Section 409A of the Code, if Participant ceases to be an Employee but continues, or simultaneously commences, services as a Non-Employee Director, Participant shall be deemed to have had a termination of Continuous Service Status for purposes of this Agreement.</w:t>
      </w:r>
    </w:p>
    <w:p>
      <w:pPr>
        <w:pStyle w:val="TextBody"/>
        <w:bidi w:val="0"/>
        <w:spacing w:lineRule="auto" w:line="290" w:before="0" w:after="240"/>
        <w:ind w:left="0" w:right="0" w:firstLine="720"/>
        <w:jc w:val="both"/>
        <w:rPr/>
      </w:pPr>
      <w:r>
        <w:rPr>
          <w:rFonts w:ascii="Times New Roman;serif" w:hAnsi="Times New Roman;serif"/>
          <w:b w:val="false"/>
          <w:color w:val="000000"/>
          <w:sz w:val="22"/>
        </w:rPr>
        <w:t>3.</w:t>
      </w:r>
      <w:r>
        <w:rPr>
          <w:rFonts w:ascii="Times New Roman;serif" w:hAnsi="Times New Roman;serif"/>
          <w:b/>
          <w:color w:val="000000"/>
          <w:sz w:val="20"/>
          <w:u w:val="single"/>
        </w:rPr>
        <w:t>Responsibility for Taxes</w:t>
      </w:r>
      <w:r>
        <w:rPr>
          <w:rFonts w:ascii="Times New Roman;serif" w:hAnsi="Times New Roman;serif"/>
          <w:b w:val="false"/>
          <w:color w:val="000000"/>
          <w:sz w:val="20"/>
        </w:rPr>
        <w:t>. As a condition to the grant, vesting, and settlement of the PSUs, Participant acknowledges that, regardless of any action taken by the Company or, if different, the Employer, the ultimate liability for all income tax, social security contributions (including employer’s social security contributions to the extent such amounts may be lawfully recovered from or borne by the Participant), social insurance, payroll tax, fringe benefits tax, payment on account or other tax-related items (or any equivalent or similar taxes, contributions or other relevant tax-related items in any relevant jurisdiction) or required deductions, withholdings or payments legally applicable to him or her and related to the receipt, vesting or settlement of the PSUs, the issuance, holding or subsequent sale of the Shares allocated to the PSUs, or the participation in the Plan (“</w:t>
      </w:r>
      <w:r>
        <w:rPr>
          <w:rFonts w:ascii="Times New Roman;serif" w:hAnsi="Times New Roman;serif"/>
          <w:b w:val="false"/>
          <w:color w:val="000000"/>
          <w:sz w:val="20"/>
          <w:u w:val="single"/>
        </w:rPr>
        <w:t>Tax-Related Items</w:t>
      </w:r>
      <w:r>
        <w:rPr>
          <w:color w:val="000000"/>
        </w:rPr>
        <w:t>”</w:t>
      </w:r>
      <w:r>
        <w:rPr>
          <w:rFonts w:ascii="Times New Roman;serif" w:hAnsi="Times New Roman;serif"/>
          <w:b w:val="false"/>
          <w:color w:val="000000"/>
          <w:sz w:val="20"/>
        </w:rPr>
        <w:t>) is and remains Participant’s responsibility and may exceed the amount actually withheld by the Company or the Employer. Participant further acknowledges and agrees that Participant is solely responsible for filing all relevant documentation that may be required in relation to the PSUs or any Tax-Related Items (other than filings or documentation that is the specific obligation of the Company, its Parent, Subsidiaries or Affiliates (the “</w:t>
      </w:r>
      <w:r>
        <w:rPr>
          <w:rFonts w:ascii="Times New Roman;serif" w:hAnsi="Times New Roman;serif"/>
          <w:b w:val="false"/>
          <w:color w:val="000000"/>
          <w:sz w:val="20"/>
          <w:u w:val="single"/>
        </w:rPr>
        <w:t>Company Group</w:t>
      </w:r>
      <w:r>
        <w:rPr>
          <w:color w:val="000000"/>
        </w:rPr>
        <w:t>”</w:t>
      </w:r>
      <w:r>
        <w:rPr>
          <w:rFonts w:ascii="Times New Roman;serif" w:hAnsi="Times New Roman;serif"/>
          <w:b w:val="false"/>
          <w:color w:val="000000"/>
          <w:sz w:val="20"/>
        </w:rPr>
        <w:t xml:space="preserve">) pursuant to Applicable Laws), such as, but not limited to, personal income tax returns or reporting </w:t>
      </w:r>
    </w:p>
    <w:p>
      <w:pPr>
        <w:pStyle w:val="TextBody"/>
        <w:bidi w:val="0"/>
        <w:spacing w:before="0" w:after="160"/>
        <w:jc w:val="both"/>
        <w:rPr/>
      </w:pPr>
      <w:r>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175260"/>
                <wp:effectExtent l="0" t="0" r="0" b="0"/>
                <wp:wrapNone/>
                <wp:docPr id="168" name="Frame1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both"/>
                        <w:rPr/>
                      </w:pPr>
                      <w:r>
                        <w:rPr/>
                      </w:r>
                    </w:p>
                  </w:txbxContent>
                </v:textbox>
                <w10:wrap type="none"/>
              </v:rect>
            </w:pict>
          </mc:Fallback>
        </mc:AlternateContent>
      </w:r>
    </w:p>
    <w:p>
      <w:pPr>
        <w:pStyle w:val="TextBody"/>
        <w:bidi w:val="0"/>
        <w:spacing w:lineRule="auto" w:line="290" w:before="0" w:after="240"/>
        <w:jc w:val="both"/>
        <w:rPr>
          <w:rFonts w:ascii="Times New Roman;serif" w:hAnsi="Times New Roman;serif"/>
          <w:b w:val="false"/>
          <w:color w:val="000000"/>
          <w:sz w:val="20"/>
        </w:rPr>
      </w:pPr>
      <w:r>
        <w:rPr>
          <w:rFonts w:ascii="Times New Roman;serif" w:hAnsi="Times New Roman;serif"/>
          <w:b w:val="false"/>
          <w:color w:val="000000"/>
          <w:sz w:val="20"/>
        </w:rPr>
        <w:t>statements in relation to the receipt, vesting or settlement of the PSUs, the issuance of the Shares allocated to the PSUs, the holding of Shares or any bank or brokerage account, the subsequent sale of Shares, and the receipt of any dividends.</w:t>
      </w:r>
    </w:p>
    <w:p>
      <w:pPr>
        <w:pStyle w:val="TextBody"/>
        <w:bidi w:val="0"/>
        <w:spacing w:lineRule="auto" w:line="292" w:before="0" w:after="160"/>
        <w:jc w:val="both"/>
        <w:rPr>
          <w:rFonts w:ascii="Times New Roman;serif" w:hAnsi="Times New Roman;serif"/>
          <w:b w:val="false"/>
          <w:color w:val="000000"/>
          <w:sz w:val="20"/>
        </w:rPr>
      </w:pPr>
      <w:r>
        <w:rPr>
          <w:rFonts w:ascii="Times New Roman;serif" w:hAnsi="Times New Roman;serif"/>
          <w:b w:val="false"/>
          <w:color w:val="000000"/>
          <w:sz w:val="20"/>
        </w:rPr>
        <w:t>Participant further acknowledges that the Company and/or the Employer: (i) make no representations or undertakings regarding the treatment of any Tax-Related Items in connection with any aspect of the PSUs, including, but not limited to, the receipt, vesting or settlement of the PSUs, the issuance, holding or subsequent sale of the Shares allocated to the PSUs and the receipt of any dividends; and (ii) do not commit to and are under no obligation to structure the terms of the grant or any aspect of the PSUs to reduce or eliminate Participant’s liability for Tax- Related Items or achieve any particular tax result. Participant also understands that Applicable Laws may require varying PSU or Share valuation methods for purposes of calculating Tax- Related Items, and the Company assumes no responsibility or liability in relation to any such valuation or for any calculation or reporting of income or Tax- Related Items that may be required of Participant under Applicable Laws.</w:t>
      </w:r>
    </w:p>
    <w:p>
      <w:pPr>
        <w:pStyle w:val="TextBody"/>
        <w:bidi w:val="0"/>
        <w:spacing w:lineRule="auto" w:line="292" w:before="0" w:after="160"/>
        <w:jc w:val="both"/>
        <w:rPr>
          <w:rFonts w:ascii="Times New Roman;serif" w:hAnsi="Times New Roman;serif"/>
          <w:b w:val="false"/>
          <w:color w:val="000000"/>
          <w:sz w:val="20"/>
        </w:rPr>
      </w:pPr>
      <w:r>
        <w:rPr>
          <w:rFonts w:ascii="Times New Roman;serif" w:hAnsi="Times New Roman;serif"/>
          <w:b w:val="false"/>
          <w:color w:val="000000"/>
          <w:sz w:val="20"/>
        </w:rPr>
        <w:t>By entering into this Agreement, Participant agrees to indemnify the Company, the Employer and any relevant Parent, Subsidiary or Affiliate, against all and any liability for any taxes or Tax-Related Items which may arise in respect of or in connection with the PSUs (or, for the avoidance of doubt, any PSUs granted or provided to Participant by way of rollover, assumption or replacement of the PSUs) or the Shares (or, for the avoidance of doubt, other shares or securities) issued or transferred pursuant to the vesting of the PSUs (or, for the avoidance of doubt, any PSUs granted or provided to Participant by way of rollover, assumption or replacement of the PSUs).</w:t>
      </w:r>
    </w:p>
    <w:p>
      <w:pPr>
        <w:pStyle w:val="TextBody"/>
        <w:bidi w:val="0"/>
        <w:spacing w:lineRule="auto" w:line="292" w:before="0" w:after="160"/>
        <w:jc w:val="both"/>
        <w:rPr>
          <w:rFonts w:ascii="Times New Roman;serif" w:hAnsi="Times New Roman;serif"/>
          <w:b w:val="false"/>
          <w:color w:val="000000"/>
          <w:sz w:val="20"/>
        </w:rPr>
      </w:pPr>
      <w:r>
        <w:rPr>
          <w:rFonts w:ascii="Times New Roman;serif" w:hAnsi="Times New Roman;serif"/>
          <w:b w:val="false"/>
          <w:color w:val="000000"/>
          <w:sz w:val="20"/>
        </w:rPr>
        <w:t>Further, if Participant is subject to Tax-Related Items in more than one jurisdiction between the Date of Grant and the date of any relevant taxable or tax withholding event, as applicable, Participant acknowledges that the Company and/or the Employer (or former employer, as applicable) may be required to withhold or account for Tax- Related Items in more than one jurisdiction.</w:t>
      </w:r>
    </w:p>
    <w:p>
      <w:pPr>
        <w:pStyle w:val="TextBody"/>
        <w:bidi w:val="0"/>
        <w:spacing w:lineRule="auto" w:line="292" w:before="0" w:after="160"/>
        <w:jc w:val="both"/>
        <w:rPr>
          <w:rFonts w:ascii="Times New Roman;serif" w:hAnsi="Times New Roman;serif"/>
          <w:b w:val="false"/>
          <w:color w:val="000000"/>
          <w:sz w:val="20"/>
        </w:rPr>
      </w:pPr>
      <w:r>
        <w:rPr>
          <w:rFonts w:ascii="Times New Roman;serif" w:hAnsi="Times New Roman;serif"/>
          <w:b w:val="false"/>
          <w:color w:val="000000"/>
          <w:sz w:val="20"/>
        </w:rPr>
        <w:t>Prior to the relevant taxable or tax withholding event, as applicable, Participant agrees to make adequate arrangements satisfactory to the Company and/or the Employer to satisfy all Tax- Related Items. In this regard, pursuant to this Agreement and subject to the Grant Notice and Applicable Laws, unless otherwise determined by the Committee, Participant authorizes the Company and/or the Employer, or their respective agents, at their discretion, to satisfy Participant’s Tax Withholding Obligations by (i) withholding or deducting from Participant’s wages or other compensation paid to Participant by the Company or the Employer, (ii) withholding from proceeds of the sale of Shares acquired pursuant to the PSUs either through a voluntary sale or through a mandatory sale arranged by the Company (on Participant’s behalf pursuant to this authorization) without further consent, (iii) withholding Shares that would otherwise be issued upon settlement of the PSUs or (iv) such other method as determined by the Company.</w:t>
      </w:r>
    </w:p>
    <w:p>
      <w:pPr>
        <w:pStyle w:val="TextBody"/>
        <w:bidi w:val="0"/>
        <w:spacing w:lineRule="auto" w:line="292" w:before="0" w:after="160"/>
        <w:jc w:val="both"/>
        <w:rPr>
          <w:rFonts w:ascii="Times New Roman;serif" w:hAnsi="Times New Roman;serif"/>
          <w:b w:val="false"/>
          <w:color w:val="000000"/>
          <w:sz w:val="20"/>
        </w:rPr>
      </w:pPr>
      <w:r>
        <w:rPr>
          <w:rFonts w:ascii="Times New Roman;serif" w:hAnsi="Times New Roman;serif"/>
          <w:b w:val="false"/>
          <w:color w:val="000000"/>
          <w:sz w:val="20"/>
        </w:rPr>
        <w:t>Depending on the method of satisfying the Tax Withholding Obligations, the Company and/or the Employer may pay, withhold or account for such Tax Withholding Obligations by considering applicable minimum statutory withholding amounts or other applicable tax or withholding rates, including maximum applicable rates, in which case Participant will (depending on the laws of the relevant jurisdiction) receive a refund of any over-withheld or over- paid amount in cash or otherwise be able to claim relief in respect of any such over- withheld or over-paid amount, and will in any event have no entitlement to the Share equivalent.</w:t>
      </w:r>
    </w:p>
    <w:p>
      <w:pPr>
        <w:pStyle w:val="TextBody"/>
        <w:bidi w:val="0"/>
        <w:spacing w:lineRule="auto" w:line="292" w:before="0" w:after="160"/>
        <w:jc w:val="both"/>
        <w:rPr>
          <w:rFonts w:ascii="Times New Roman;serif" w:hAnsi="Times New Roman;serif"/>
          <w:b w:val="false"/>
          <w:color w:val="000000"/>
          <w:sz w:val="20"/>
        </w:rPr>
      </w:pPr>
      <w:r>
        <w:rPr>
          <w:rFonts w:ascii="Times New Roman;serif" w:hAnsi="Times New Roman;serif"/>
          <w:b w:val="false"/>
          <w:color w:val="000000"/>
          <w:sz w:val="20"/>
        </w:rPr>
        <w:t>Participant agrees to pay to the Company or the Employer any amount of Tax Withholding Obligations that the Company or the Employer may be required to pay, withhold or account for as a result of Participant’s receipt, vesting or settlement of the PSUs, the issuance or holding of the Shares allocated to the PSUs or the participation in the Plan that cannot be satisfied by the means previously described. The Company may refuse to issue or deliver the Shares or the proceeds of the sale of Shares if Participant fails to comply with his or her obligations in connection with the Tax Withholding Obligations.</w:t>
      </w:r>
    </w:p>
    <w:p>
      <w:pPr>
        <w:pStyle w:val="TextBody"/>
        <w:bidi w:val="0"/>
        <w:spacing w:lineRule="auto" w:line="292" w:before="0" w:after="160"/>
        <w:jc w:val="both"/>
        <w:rPr>
          <w:rFonts w:ascii="Times New Roman;serif" w:hAnsi="Times New Roman;serif"/>
          <w:b w:val="false"/>
          <w:color w:val="000000"/>
          <w:sz w:val="20"/>
        </w:rPr>
      </w:pPr>
      <w:r>
        <w:rPr>
          <w:rFonts w:ascii="Times New Roman;serif" w:hAnsi="Times New Roman;serif"/>
          <w:b w:val="false"/>
          <w:color w:val="000000"/>
          <w:sz w:val="20"/>
        </w:rPr>
        <w:t>Participant understands that Participant may suffer adverse tax consequences as a result of Participant’s receipt of the PSUs, the vesting and/or settlement of the PSUs, the issuance or holding of Shares allocated to the PSUs and/or the disposition of such Shares. Participant represents that Participant has consulted any tax consultants Participant deems advisable in connection with the receipt of the PSUs, the vesting and/or settlement of the PSUs, the issuance or holding of Shares allocated to the PSUs and/or the disposition of such Shares and that Participant is not relying on the Company (or the Employer) for any tax advice.</w:t>
      </w:r>
    </w:p>
    <w:p>
      <w:pPr>
        <w:pStyle w:val="TextBody"/>
        <w:bidi w:val="0"/>
        <w:spacing w:before="0" w:after="160"/>
        <w:jc w:val="both"/>
        <w:rPr/>
      </w:pPr>
      <w:r>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146685"/>
                <wp:effectExtent l="0" t="0" r="0" b="0"/>
                <wp:wrapNone/>
                <wp:docPr id="169" name="Frame1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90" w:before="0" w:after="16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90" w:before="0" w:after="16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90" w:before="0" w:after="240"/>
        <w:ind w:left="0" w:right="0" w:firstLine="720"/>
        <w:jc w:val="both"/>
        <w:rPr/>
      </w:pPr>
      <w:r>
        <w:rPr>
          <w:rFonts w:ascii="Times New Roman;serif" w:hAnsi="Times New Roman;serif"/>
          <w:b w:val="false"/>
          <w:color w:val="000000"/>
          <w:sz w:val="22"/>
        </w:rPr>
        <w:t>4.</w:t>
      </w:r>
      <w:r>
        <w:rPr>
          <w:rFonts w:ascii="Times New Roman;serif" w:hAnsi="Times New Roman;serif"/>
          <w:b/>
          <w:color w:val="000000"/>
          <w:sz w:val="20"/>
          <w:u w:val="single"/>
        </w:rPr>
        <w:t>Nature of Grant</w:t>
      </w:r>
      <w:r>
        <w:rPr>
          <w:rFonts w:ascii="Times New Roman;serif" w:hAnsi="Times New Roman;serif"/>
          <w:b/>
          <w:color w:val="000000"/>
          <w:sz w:val="20"/>
        </w:rPr>
        <w:t xml:space="preserve">. </w:t>
      </w:r>
      <w:r>
        <w:rPr>
          <w:rFonts w:ascii="Times New Roman;serif" w:hAnsi="Times New Roman;serif"/>
          <w:b w:val="false"/>
          <w:color w:val="000000"/>
          <w:sz w:val="20"/>
        </w:rPr>
        <w:t>In accepting the PSUs, Participant acknowledges, understands and agrees that:</w:t>
      </w:r>
    </w:p>
    <w:p>
      <w:pPr>
        <w:pStyle w:val="TextBody"/>
        <w:bidi w:val="0"/>
        <w:spacing w:lineRule="auto" w:line="290"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0"/>
        </w:rPr>
        <w:t>the Plan is established voluntarily by the Company, is discretionary in nature, and may be amended, suspended or terminated by the Company at any time, to the extent permitted by the Plan;</w:t>
      </w:r>
    </w:p>
    <w:p>
      <w:pPr>
        <w:pStyle w:val="TextBody"/>
        <w:bidi w:val="0"/>
        <w:spacing w:lineRule="auto" w:line="290"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0"/>
        </w:rPr>
        <w:t>the grant of the PSUs is voluntary and occasional and does not create any contractual or other right to receive future grants of performance-based Restricted Stock Units, or benefits in lieu of performance-based Restricted Stock Units, even if performance-based Restricted Stock Units have been granted in the past;</w:t>
      </w:r>
    </w:p>
    <w:p>
      <w:pPr>
        <w:pStyle w:val="TextBody"/>
        <w:bidi w:val="0"/>
        <w:spacing w:lineRule="auto" w:line="290" w:before="0" w:after="240"/>
        <w:ind w:left="0" w:right="0" w:firstLine="720"/>
        <w:jc w:val="both"/>
        <w:rPr/>
      </w:pPr>
      <w:r>
        <w:rPr>
          <w:rFonts w:ascii="Times New Roman;serif" w:hAnsi="Times New Roman;serif"/>
          <w:b w:val="false"/>
          <w:color w:val="000000"/>
          <w:sz w:val="22"/>
        </w:rPr>
        <w:t>(c)</w:t>
      </w:r>
      <w:r>
        <w:rPr>
          <w:rFonts w:ascii="Times New Roman;serif" w:hAnsi="Times New Roman;serif"/>
          <w:b w:val="false"/>
          <w:color w:val="000000"/>
          <w:sz w:val="20"/>
        </w:rPr>
        <w:t>all decisions with respect to future performance-based Restricted Stock Units or other grants, if any, will be at the sole discretion of the Company;</w:t>
      </w:r>
    </w:p>
    <w:p>
      <w:pPr>
        <w:pStyle w:val="TextBody"/>
        <w:bidi w:val="0"/>
        <w:spacing w:lineRule="auto" w:line="290" w:before="0" w:after="240"/>
        <w:ind w:left="0" w:right="0" w:firstLine="720"/>
        <w:jc w:val="both"/>
        <w:rPr/>
      </w:pPr>
      <w:r>
        <w:rPr>
          <w:rFonts w:ascii="Times New Roman;serif" w:hAnsi="Times New Roman;serif"/>
          <w:b w:val="false"/>
          <w:color w:val="000000"/>
          <w:sz w:val="22"/>
        </w:rPr>
        <w:t>(d)</w:t>
      </w:r>
      <w:r>
        <w:rPr>
          <w:rFonts w:ascii="Times New Roman;serif" w:hAnsi="Times New Roman;serif"/>
          <w:b w:val="false"/>
          <w:color w:val="000000"/>
          <w:sz w:val="20"/>
        </w:rPr>
        <w:t>Participant is voluntarily participating in the Plan;</w:t>
      </w:r>
    </w:p>
    <w:p>
      <w:pPr>
        <w:pStyle w:val="TextBody"/>
        <w:bidi w:val="0"/>
        <w:spacing w:lineRule="auto" w:line="290" w:before="0" w:after="240"/>
        <w:ind w:left="0" w:right="0" w:firstLine="720"/>
        <w:jc w:val="both"/>
        <w:rPr/>
      </w:pPr>
      <w:r>
        <w:rPr>
          <w:rFonts w:ascii="Times New Roman;serif" w:hAnsi="Times New Roman;serif"/>
          <w:b w:val="false"/>
          <w:color w:val="000000"/>
          <w:sz w:val="22"/>
        </w:rPr>
        <w:t>(e)</w:t>
      </w:r>
      <w:r>
        <w:rPr>
          <w:rFonts w:ascii="Times New Roman;serif" w:hAnsi="Times New Roman;serif"/>
          <w:b w:val="false"/>
          <w:color w:val="000000"/>
          <w:sz w:val="20"/>
        </w:rPr>
        <w:t>the PSUs and the Shares allocated to the PSUs are not intended to replace any pension rights or compensation and are outside the scope of Participant’s employment contract, if any;</w:t>
      </w:r>
    </w:p>
    <w:p>
      <w:pPr>
        <w:pStyle w:val="TextBody"/>
        <w:bidi w:val="0"/>
        <w:spacing w:lineRule="auto" w:line="290" w:before="0" w:after="240"/>
        <w:ind w:left="0" w:right="0" w:firstLine="720"/>
        <w:jc w:val="both"/>
        <w:rPr/>
      </w:pPr>
      <w:r>
        <w:rPr>
          <w:rFonts w:ascii="Times New Roman;serif" w:hAnsi="Times New Roman;serif"/>
          <w:b w:val="false"/>
          <w:color w:val="000000"/>
          <w:sz w:val="22"/>
        </w:rPr>
        <w:t>(f)</w:t>
      </w:r>
      <w:r>
        <w:rPr>
          <w:rFonts w:ascii="Times New Roman;serif" w:hAnsi="Times New Roman;serif"/>
          <w:b w:val="false"/>
          <w:color w:val="000000"/>
          <w:sz w:val="20"/>
        </w:rPr>
        <w:t>the PSUs and the Shares allocated to the PSUs, and the income and value of same, are not part of normal or expected compensation for any purpose, including, without limitation, calculating any severance, resignation, termination, redundancy, dismissal, end-of- service payments, bonuses, long-service awards, pension or retirement or welfare benefits or similar payments;</w:t>
      </w:r>
    </w:p>
    <w:p>
      <w:pPr>
        <w:pStyle w:val="TextBody"/>
        <w:bidi w:val="0"/>
        <w:spacing w:lineRule="auto" w:line="290" w:before="0" w:after="240"/>
        <w:ind w:left="0" w:right="0" w:firstLine="720"/>
        <w:jc w:val="both"/>
        <w:rPr/>
      </w:pPr>
      <w:r>
        <w:rPr>
          <w:rFonts w:ascii="Times New Roman;serif" w:hAnsi="Times New Roman;serif"/>
          <w:b w:val="false"/>
          <w:color w:val="000000"/>
          <w:sz w:val="22"/>
        </w:rPr>
        <w:t>(g)</w:t>
      </w:r>
      <w:r>
        <w:rPr>
          <w:rFonts w:ascii="Times New Roman;serif" w:hAnsi="Times New Roman;serif"/>
          <w:b w:val="false"/>
          <w:color w:val="000000"/>
          <w:sz w:val="20"/>
        </w:rPr>
        <w:t>unless otherwise provided in the Plan or by the Company in its discretion, the PSUs and the benefits evidenced by this Agreement do not create any entitlement to have the PSUs or any such benefits transferred to, or assumed by, another company nor to be exchanged, cashed out or substituted for, in connection with any corporate transaction affecting the Shares; and</w:t>
      </w:r>
    </w:p>
    <w:p>
      <w:pPr>
        <w:pStyle w:val="TextBody"/>
        <w:bidi w:val="0"/>
        <w:spacing w:lineRule="auto" w:line="290" w:before="0" w:after="240"/>
        <w:ind w:left="0" w:right="0" w:firstLine="720"/>
        <w:jc w:val="both"/>
        <w:rPr/>
      </w:pPr>
      <w:r>
        <w:rPr>
          <w:rFonts w:ascii="Times New Roman;serif" w:hAnsi="Times New Roman;serif"/>
          <w:b w:val="false"/>
          <w:color w:val="000000"/>
          <w:sz w:val="22"/>
        </w:rPr>
        <w:t>(h)</w:t>
      </w:r>
      <w:r>
        <w:rPr>
          <w:rFonts w:ascii="Times New Roman;serif" w:hAnsi="Times New Roman;serif"/>
          <w:b w:val="false"/>
          <w:color w:val="000000"/>
          <w:sz w:val="20"/>
        </w:rPr>
        <w:t>no entity in the Company Group shall be liable for any foreign exchange rate fluctuation between Participant’s local currency and the United States Dollar or the selection by the Company or any member of the Company Group in its sole discretion of an applicable foreign exchange rate that may affect the value of the PSUs (or the calculation of income or Tax-Related Items thereunder) or of any amounts due to Participant pursuant to the settlement of the PSUs or the subsequent sale of the Shares allocated to the PSUs.</w:t>
      </w:r>
    </w:p>
    <w:p>
      <w:pPr>
        <w:pStyle w:val="TextBody"/>
        <w:bidi w:val="0"/>
        <w:spacing w:lineRule="auto" w:line="290" w:before="0" w:after="240"/>
        <w:ind w:left="0" w:right="0" w:firstLine="720"/>
        <w:jc w:val="both"/>
        <w:rPr/>
      </w:pPr>
      <w:r>
        <w:rPr>
          <w:rFonts w:ascii="Times New Roman;serif" w:hAnsi="Times New Roman;serif"/>
          <w:b w:val="false"/>
          <w:color w:val="000000"/>
          <w:sz w:val="22"/>
        </w:rPr>
        <w:t>5.</w:t>
      </w:r>
      <w:r>
        <w:rPr>
          <w:rFonts w:ascii="Times New Roman;serif" w:hAnsi="Times New Roman;serif"/>
          <w:b/>
          <w:color w:val="000000"/>
          <w:sz w:val="20"/>
          <w:u w:val="single"/>
        </w:rPr>
        <w:t>Section 409A of the U.S. Internal Revenue Code</w:t>
      </w:r>
      <w:r>
        <w:rPr>
          <w:rFonts w:ascii="Times New Roman;serif" w:hAnsi="Times New Roman;serif"/>
          <w:b w:val="false"/>
          <w:color w:val="000000"/>
          <w:sz w:val="20"/>
        </w:rPr>
        <w:t>. All payments made and benefits provided under this Agreement are intended to be exempt from or comply with the requirements of Section 409A of the Code so that none of the payments or benefits will be subject to the adverse tax penalties imposed under Section 409A. Each tranche of PSUs that vests, or is scheduled to vest, pursuant to the Grant Notice shall be designated as a “separate payment” for purposes of Treasury Regulation Section 1.409A-2(b)(2). Notwithstanding anything in the Plan or this Agreement to the contrary, if the vesting of all or a portion of any unvested PSUs is accelerated in connection with the Participant’s termination of Continuous Service Status (provided that such termination is a “separation from service” within the meaning of Section 409A, as determined by the Company), other than due to death</w:t>
      </w:r>
      <w:r>
        <w:rPr>
          <w:rFonts w:ascii="Times New Roman;serif" w:hAnsi="Times New Roman;serif"/>
          <w:b/>
          <w:color w:val="000000"/>
          <w:sz w:val="20"/>
        </w:rPr>
        <w:t xml:space="preserve">, </w:t>
      </w:r>
      <w:r>
        <w:rPr>
          <w:rFonts w:ascii="Times New Roman;serif" w:hAnsi="Times New Roman;serif"/>
          <w:b w:val="false"/>
          <w:color w:val="000000"/>
          <w:sz w:val="20"/>
        </w:rPr>
        <w:t xml:space="preserve">and if both (a) the Participant is a “specified employee” within the meaning of Section 409A of the Code at the time of such termination of Continuous Service Status, and (b) the payment of such accelerated PSUs would result in the imposition of additional tax under Section 409A of the Code if paid to the Participant within the 6 month period following the Participant’s termination of Continuous Service Status, then the payment of such accelerated PSUs will not be made until the date that is 6 months and 1 day following the date of the Participant’s termination of Continuous Service Status, unless the Participant dies following such Participant’s termination of Continuous Service Status, in which case, the PSUs will be paid in Shares to the Participant’s estate as soon as practicable following Participant’s death. In no event will the Company reimburse Participant for any taxes or other penalties that may be imposed on Participant as a result of Section 409A and, by accepting the PSUs, Participant hereby indemnifies the Company for any </w:t>
      </w:r>
    </w:p>
    <w:p>
      <w:pPr>
        <w:pStyle w:val="TextBody"/>
        <w:bidi w:val="0"/>
        <w:spacing w:before="0" w:after="160"/>
        <w:jc w:val="both"/>
        <w:rPr/>
      </w:pPr>
      <w:r>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146685"/>
                <wp:effectExtent l="0" t="0" r="0" b="0"/>
                <wp:wrapNone/>
                <wp:docPr id="170" name="Frame1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90" w:before="0" w:after="16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90" w:before="0" w:after="16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90"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liability that arises as a result of Section 409A. Notwithstanding any provision to the contrary, to the extent the period for Participant to complete the Release Requirement, if applicable, begins in one calendar year and ends in a second calendar year, any PSUs that would have otherwise been settled in the first calendar year will instead be settled in the second calendar year. </w:t>
      </w:r>
    </w:p>
    <w:p>
      <w:pPr>
        <w:pStyle w:val="TextBody"/>
        <w:bidi w:val="0"/>
        <w:spacing w:lineRule="auto" w:line="290" w:before="0" w:after="240"/>
        <w:ind w:left="0" w:right="0" w:firstLine="720"/>
        <w:jc w:val="both"/>
        <w:rPr/>
      </w:pPr>
      <w:r>
        <w:rPr>
          <w:rFonts w:ascii="Times New Roman;serif" w:hAnsi="Times New Roman;serif"/>
          <w:b w:val="false"/>
          <w:color w:val="000000"/>
          <w:sz w:val="22"/>
        </w:rPr>
        <w:t>6.</w:t>
      </w:r>
      <w:r>
        <w:rPr>
          <w:rFonts w:ascii="Times New Roman;serif" w:hAnsi="Times New Roman;serif"/>
          <w:b/>
          <w:color w:val="000000"/>
          <w:sz w:val="20"/>
          <w:u w:val="single"/>
        </w:rPr>
        <w:t>No Advice Regarding Grant</w:t>
      </w:r>
      <w:r>
        <w:rPr>
          <w:rFonts w:ascii="Times New Roman;serif" w:hAnsi="Times New Roman;serif"/>
          <w:b w:val="false"/>
          <w:color w:val="000000"/>
          <w:sz w:val="20"/>
        </w:rPr>
        <w:t>. The Company is not providing any tax, legal or financial advice, nor is the Company making any recommendations regarding Participant’s participation in the Plan, or Participant’s receipt of the PSUs, the vesting or settlement of the PSUs or the Shares allocated thereto or the sale of such Shares. Participant is hereby advised to consult with his or her own personal tax, legal and financial advisors regarding his or her participation in the Plan and the PSUs before accepting the PSUs or otherwise taking any action related to the PSUs or the Plan.</w:t>
      </w:r>
    </w:p>
    <w:p>
      <w:pPr>
        <w:pStyle w:val="TextBody"/>
        <w:bidi w:val="0"/>
        <w:spacing w:lineRule="auto" w:line="290" w:before="0" w:after="240"/>
        <w:ind w:left="0" w:right="0" w:firstLine="720"/>
        <w:jc w:val="both"/>
        <w:rPr/>
      </w:pPr>
      <w:r>
        <w:rPr>
          <w:rFonts w:ascii="Times New Roman;serif" w:hAnsi="Times New Roman;serif"/>
          <w:b w:val="false"/>
          <w:color w:val="000000"/>
          <w:sz w:val="22"/>
        </w:rPr>
        <w:t>7.</w:t>
      </w:r>
      <w:r>
        <w:rPr>
          <w:rFonts w:ascii="Times New Roman;serif" w:hAnsi="Times New Roman;serif"/>
          <w:b/>
          <w:color w:val="000000"/>
          <w:sz w:val="20"/>
          <w:u w:val="single"/>
        </w:rPr>
        <w:t>Data Privacy</w:t>
      </w:r>
      <w:r>
        <w:rPr>
          <w:rFonts w:ascii="Times New Roman;serif" w:hAnsi="Times New Roman;serif"/>
          <w:b w:val="false"/>
          <w:color w:val="000000"/>
          <w:sz w:val="20"/>
        </w:rPr>
        <w:t xml:space="preserve">. </w:t>
      </w:r>
    </w:p>
    <w:p>
      <w:pPr>
        <w:pStyle w:val="TextBody"/>
        <w:bidi w:val="0"/>
        <w:spacing w:lineRule="auto" w:line="292" w:before="0" w:after="240"/>
        <w:ind w:left="0" w:right="0" w:firstLine="1440"/>
        <w:jc w:val="both"/>
        <w:rPr/>
      </w:pPr>
      <w:r>
        <w:rPr>
          <w:rFonts w:ascii="Times New Roman;serif" w:hAnsi="Times New Roman;serif"/>
          <w:b/>
          <w:i/>
          <w:color w:val="000000"/>
          <w:sz w:val="20"/>
        </w:rPr>
        <w:t>Participant understands that the Company Group may hold certain personal information about Participant, including, but not limited to, Participant’s name, home address and telephone number, date of birth, social insurance number or other identification number, salary, nationality, job title, any Shares or directorships held in the Company, details of all Awards, or any other entitlement to Shares awarded, canceled, exercised, vested, unvested or outstanding in Participant’s favor (“</w:t>
      </w:r>
      <w:r>
        <w:rPr>
          <w:rFonts w:ascii="Times New Roman;serif" w:hAnsi="Times New Roman;serif"/>
          <w:b/>
          <w:i/>
          <w:color w:val="000000"/>
          <w:sz w:val="20"/>
          <w:u w:val="single"/>
        </w:rPr>
        <w:t>Data</w:t>
      </w:r>
      <w:r>
        <w:rPr>
          <w:color w:val="000000"/>
        </w:rPr>
        <w:t>”</w:t>
      </w:r>
      <w:r>
        <w:rPr>
          <w:rFonts w:ascii="Times New Roman;serif" w:hAnsi="Times New Roman;serif"/>
          <w:b/>
          <w:i/>
          <w:color w:val="000000"/>
          <w:sz w:val="20"/>
        </w:rPr>
        <w:t>), for the purpose of implementing, administering and managing the Plan, including, as the case may be, sensitive information pertaining to disability claims, (“</w:t>
      </w:r>
      <w:r>
        <w:rPr>
          <w:rFonts w:ascii="Times New Roman;serif" w:hAnsi="Times New Roman;serif"/>
          <w:b/>
          <w:i/>
          <w:color w:val="000000"/>
          <w:sz w:val="20"/>
          <w:u w:val="single"/>
        </w:rPr>
        <w:t>Data</w:t>
      </w:r>
      <w:r>
        <w:rPr>
          <w:color w:val="000000"/>
        </w:rPr>
        <w:t>”</w:t>
      </w:r>
      <w:r>
        <w:rPr>
          <w:rFonts w:ascii="Times New Roman;serif" w:hAnsi="Times New Roman;serif"/>
          <w:b/>
          <w:i/>
          <w:color w:val="000000"/>
          <w:sz w:val="20"/>
        </w:rPr>
        <w:t>), to the extent necessary for the sole purpose of implementing, administering and managing the Plan. Participant understands that Data will be transferred to such stock plan service provider as may be selected by the Company, presently or in the future, which may be assisting the Company with the implementation, administration and management of the Plan, to the extent necessary and for the sole purpose of the administration and management of the Plan.</w:t>
      </w:r>
    </w:p>
    <w:p>
      <w:pPr>
        <w:pStyle w:val="TextBody"/>
        <w:bidi w:val="0"/>
        <w:spacing w:lineRule="auto" w:line="292" w:before="0" w:after="240"/>
        <w:ind w:left="0" w:right="0" w:firstLine="1440"/>
        <w:jc w:val="both"/>
        <w:rPr>
          <w:rFonts w:ascii="Times New Roman;serif" w:hAnsi="Times New Roman;serif"/>
          <w:b/>
          <w:i/>
          <w:color w:val="000000"/>
          <w:sz w:val="20"/>
        </w:rPr>
      </w:pPr>
      <w:r>
        <w:rPr>
          <w:rFonts w:ascii="Times New Roman;serif" w:hAnsi="Times New Roman;serif"/>
          <w:b/>
          <w:i/>
          <w:color w:val="000000"/>
          <w:sz w:val="20"/>
        </w:rPr>
        <w:t>Participant understands that the recipients of the Data may be located in the United States or elsewhere, and that the recipient’s country (e.g., the United States) may have different data privacy laws and protections than Participant’s country.</w:t>
      </w:r>
    </w:p>
    <w:p>
      <w:pPr>
        <w:pStyle w:val="TextBody"/>
        <w:bidi w:val="0"/>
        <w:spacing w:lineRule="auto" w:line="290" w:before="0" w:after="240"/>
        <w:ind w:left="0" w:right="0" w:firstLine="720"/>
        <w:jc w:val="both"/>
        <w:rPr/>
      </w:pPr>
      <w:r>
        <w:rPr>
          <w:rFonts w:ascii="Times New Roman;serif" w:hAnsi="Times New Roman;serif"/>
          <w:b w:val="false"/>
          <w:color w:val="000000"/>
          <w:sz w:val="22"/>
        </w:rPr>
        <w:t>8.</w:t>
      </w:r>
      <w:r>
        <w:rPr>
          <w:rFonts w:ascii="Times New Roman;serif" w:hAnsi="Times New Roman;serif"/>
          <w:b/>
          <w:color w:val="000000"/>
          <w:sz w:val="20"/>
          <w:u w:val="single"/>
        </w:rPr>
        <w:t>Miscellaneous</w:t>
      </w:r>
      <w:r>
        <w:rPr>
          <w:rFonts w:ascii="Times New Roman;serif" w:hAnsi="Times New Roman;serif"/>
          <w:b w:val="false"/>
          <w:color w:val="000000"/>
          <w:sz w:val="20"/>
        </w:rPr>
        <w:t>.</w:t>
      </w:r>
    </w:p>
    <w:p>
      <w:pPr>
        <w:pStyle w:val="TextBody"/>
        <w:bidi w:val="0"/>
        <w:spacing w:lineRule="auto" w:line="290" w:before="0" w:after="240"/>
        <w:ind w:left="0" w:right="0" w:firstLine="720"/>
        <w:jc w:val="both"/>
        <w:rPr/>
      </w:pPr>
      <w:r>
        <w:rPr>
          <w:rFonts w:ascii="Times New Roman;serif" w:hAnsi="Times New Roman;serif"/>
          <w:b w:val="false"/>
          <w:color w:val="000000"/>
          <w:sz w:val="22"/>
        </w:rPr>
        <w:t>(a)</w:t>
      </w:r>
      <w:r>
        <w:rPr>
          <w:rFonts w:ascii="Times New Roman;serif" w:hAnsi="Times New Roman;serif"/>
          <w:b/>
          <w:color w:val="000000"/>
          <w:sz w:val="20"/>
          <w:u w:val="single"/>
        </w:rPr>
        <w:t>Governing Law and Venue</w:t>
      </w:r>
      <w:r>
        <w:rPr>
          <w:rFonts w:ascii="Times New Roman;serif" w:hAnsi="Times New Roman;serif"/>
          <w:b/>
          <w:color w:val="000000"/>
          <w:sz w:val="20"/>
        </w:rPr>
        <w:t xml:space="preserve">. </w:t>
      </w:r>
      <w:r>
        <w:rPr>
          <w:rFonts w:ascii="Times New Roman;serif" w:hAnsi="Times New Roman;serif"/>
          <w:b w:val="false"/>
          <w:color w:val="000000"/>
          <w:sz w:val="20"/>
        </w:rPr>
        <w:t>This Agreement and all acts and transactions pursuant hereto and the rights and obligations of the parties hereto shall be governed, construed and interpreted in accordance with the laws of the State of Delaware, without giving effect to principles of conflicts of law. For purposes of any action, lawsuit or other proceedings brought to enforce this Agreement, relating to it, or arising from it, the parties hereby submit and consent to the sole and exclusive jurisdiction of the Court of Chancery of the State of Delaware located in Wilmington, Delaware (or, if the Court of Chancery of the State of Delaware declines to accept jurisdiction over a particular matter, any state court located in Wilmington, Delaware or the United States District Court for the District of Delaware) and appellate courts thereof, and no other courts, where this grant is made and/or to be performed.</w:t>
      </w:r>
    </w:p>
    <w:p>
      <w:pPr>
        <w:pStyle w:val="TextBody"/>
        <w:bidi w:val="0"/>
        <w:spacing w:lineRule="auto" w:line="290" w:before="0" w:after="240"/>
        <w:ind w:left="0" w:right="0" w:firstLine="720"/>
        <w:jc w:val="both"/>
        <w:rPr/>
      </w:pPr>
      <w:r>
        <w:rPr>
          <w:rFonts w:ascii="Times New Roman;serif" w:hAnsi="Times New Roman;serif"/>
          <w:b w:val="false"/>
          <w:color w:val="000000"/>
          <w:sz w:val="22"/>
        </w:rPr>
        <w:t>(b)</w:t>
      </w:r>
      <w:r>
        <w:rPr>
          <w:rFonts w:ascii="Times New Roman;serif" w:hAnsi="Times New Roman;serif"/>
          <w:b/>
          <w:color w:val="000000"/>
          <w:sz w:val="20"/>
          <w:u w:val="single"/>
        </w:rPr>
        <w:t>Addendum and Sub-Plans</w:t>
      </w:r>
      <w:r>
        <w:rPr>
          <w:rFonts w:ascii="Times New Roman;serif" w:hAnsi="Times New Roman;serif"/>
          <w:b/>
          <w:color w:val="000000"/>
          <w:sz w:val="20"/>
        </w:rPr>
        <w:t xml:space="preserve">. </w:t>
      </w:r>
      <w:r>
        <w:rPr>
          <w:rFonts w:ascii="Times New Roman;serif" w:hAnsi="Times New Roman;serif"/>
          <w:b w:val="false"/>
          <w:color w:val="000000"/>
          <w:sz w:val="20"/>
        </w:rPr>
        <w:t>Notwithstanding any provisions in this Agreement, the PSUs shall be subject to any special terms and conditions set forth in any Addendum to this Agreement for Participant’s country. Moreover, if Participant relocates to one of the countries included in any Addendum, the special terms and conditions for such country will apply to Participant, to the extent the Company determines that the application of such terms and conditions is necessary or advisable for legal or administrative reasons. Any Addendum that may be attached hereto constitutes part of this Agreement. Further, the Plan shall be deemed to include any special terms and conditions set forth in any applicable sub-plan for Participant’s country (if any), and, if Participant relocates to a country for which the Company has established a sub-plan, the special terms and conditions for such country will apply to Participant, to the extent the Company determines that the application of such terms and conditions is necessary or advisable for legal or administrative reasons.</w:t>
      </w:r>
    </w:p>
    <w:p>
      <w:pPr>
        <w:pStyle w:val="TextBody"/>
        <w:bidi w:val="0"/>
        <w:spacing w:before="0" w:after="160"/>
        <w:jc w:val="both"/>
        <w:rPr/>
      </w:pPr>
      <w:r>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146685"/>
                <wp:effectExtent l="0" t="0" r="0" b="0"/>
                <wp:wrapNone/>
                <wp:docPr id="171" name="Frame1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90" w:before="0" w:after="16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90" w:before="0" w:after="16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90" w:before="0" w:after="240"/>
        <w:ind w:left="0" w:right="0" w:firstLine="720"/>
        <w:jc w:val="both"/>
        <w:rPr/>
      </w:pPr>
      <w:r>
        <w:rPr>
          <w:rFonts w:ascii="Times New Roman;serif" w:hAnsi="Times New Roman;serif"/>
          <w:b w:val="false"/>
          <w:color w:val="000000"/>
          <w:sz w:val="22"/>
        </w:rPr>
        <w:t>(c)</w:t>
      </w:r>
      <w:r>
        <w:rPr>
          <w:rFonts w:ascii="Times New Roman;serif" w:hAnsi="Times New Roman;serif"/>
          <w:b/>
          <w:color w:val="000000"/>
          <w:sz w:val="20"/>
          <w:u w:val="single"/>
        </w:rPr>
        <w:t>Compensation Recovery</w:t>
      </w:r>
      <w:r>
        <w:rPr>
          <w:rFonts w:ascii="Times New Roman;serif" w:hAnsi="Times New Roman;serif"/>
          <w:b w:val="false"/>
          <w:color w:val="000000"/>
          <w:sz w:val="20"/>
        </w:rPr>
        <w:t>. Notwithstanding anything in the Grant Notice or PSU Agreement to the contrary, the Participant acknowledges and agrees that the Grant Notice and this PSU Agreement and the award described herein (and any settlement thereof) are subject to the terms and conditions of the Company’s clawback provisions, policy or policies (if any) as may exist or be in effect from time to time, including specifically to implement Section 10D of the Exchange Act and any applicable rules or regulations promulgated thereunder (including applicable rules and regulations of any national securities exchange on which the Shares at any point may be traded) (the “</w:t>
      </w:r>
      <w:r>
        <w:rPr>
          <w:rFonts w:ascii="Times New Roman;serif" w:hAnsi="Times New Roman;serif"/>
          <w:b w:val="false"/>
          <w:color w:val="000000"/>
          <w:sz w:val="20"/>
          <w:u w:val="single"/>
        </w:rPr>
        <w:t>Compensation Recovery Policy</w:t>
      </w:r>
      <w:r>
        <w:rPr>
          <w:color w:val="000000"/>
        </w:rPr>
        <w:t>”</w:t>
      </w:r>
      <w:r>
        <w:rPr>
          <w:rFonts w:ascii="Times New Roman;serif" w:hAnsi="Times New Roman;serif"/>
          <w:b w:val="false"/>
          <w:color w:val="000000"/>
          <w:sz w:val="20"/>
        </w:rPr>
        <w:t>), and that applicable provisions of the Grant Notice and this PSU Agreement (or any related documents) shall be interpreted consistently with (or deemed superseded by and/or subject to, as applicable) the terms and conditions of the Compensation Recovery Policy. Further, by accepting these PSUs, the Participant agrees (or has agreed) to fully cooperate with and assist the Company in connection with any of the Participant’s obligations to the Company pursuant to the Compensation Recovery Policy, and agrees (or has agreed) that the Company may enforce its rights under the Compensation Recovery Policy through any and all reasonable means permitted under applicable law as it deems necessary or desirable under the Compensation Recovery Policy, in each case from and after the effective dates thereof. Such cooperation and assistance shall include, but is not limited to, executing, completing and submitting any documentation necessary to facilitate the recovery or recoupment by the Company from the Participant of any such amounts, including from the Participants’ accounts or from any other compensation, to the extent permissible under Section 409A of the Code.</w:t>
      </w:r>
    </w:p>
    <w:p>
      <w:pPr>
        <w:pStyle w:val="TextBody"/>
        <w:bidi w:val="0"/>
        <w:spacing w:lineRule="auto" w:line="290" w:before="0" w:after="240"/>
        <w:ind w:left="0" w:right="0" w:firstLine="720"/>
        <w:jc w:val="both"/>
        <w:rPr/>
      </w:pPr>
      <w:r>
        <w:rPr>
          <w:rFonts w:ascii="Times New Roman;serif" w:hAnsi="Times New Roman;serif"/>
          <w:b w:val="false"/>
          <w:color w:val="000000"/>
          <w:sz w:val="22"/>
        </w:rPr>
        <w:t>(d)</w:t>
      </w:r>
      <w:r>
        <w:rPr>
          <w:rFonts w:ascii="Times New Roman;serif" w:hAnsi="Times New Roman;serif"/>
          <w:b/>
          <w:color w:val="000000"/>
          <w:sz w:val="20"/>
          <w:u w:val="single"/>
        </w:rPr>
        <w:t>Entire Agreement; Enforcement of Rights; Amendment</w:t>
      </w:r>
      <w:r>
        <w:rPr>
          <w:rFonts w:ascii="Times New Roman;serif" w:hAnsi="Times New Roman;serif"/>
          <w:b/>
          <w:color w:val="000000"/>
          <w:sz w:val="20"/>
        </w:rPr>
        <w:t xml:space="preserve">. </w:t>
      </w:r>
      <w:r>
        <w:rPr>
          <w:rFonts w:ascii="Times New Roman;serif" w:hAnsi="Times New Roman;serif"/>
          <w:b w:val="false"/>
          <w:color w:val="000000"/>
          <w:sz w:val="20"/>
        </w:rPr>
        <w:t>This Agreement, together with the Plan the Grant Notice, and the Performance Memo, sets forth the entire agreement and understanding of the parties relating to the subject matter herein and merges all prior or contemporaneous discussions between them. Except as contemplated by the Plan, no modification of or amendment to this Agreement, nor any waiver of any rights under this Agreement, shall be effective unless in writing signed by the parties to this Agreement to the extent it would materially and adversely affect the rights of Participant. The failure by either party to enforce any rights under this Agreement shall not be construed as a waiver of any rights of such party. Notwithstanding anything to the contrary in the Plan or this Agreement, the Company reserves the right to revise this Agreement as it deems necessary or advisable, in its sole discretion and without the consent of Participant, to comply with Code Section 409A or to otherwise avoid imposition of any additional tax or income recognition under Section 409A of the Code in connection with the PSUs.</w:t>
      </w:r>
    </w:p>
    <w:p>
      <w:pPr>
        <w:pStyle w:val="TextBody"/>
        <w:bidi w:val="0"/>
        <w:spacing w:lineRule="auto" w:line="290" w:before="0" w:after="240"/>
        <w:ind w:left="0" w:right="0" w:firstLine="720"/>
        <w:jc w:val="both"/>
        <w:rPr/>
      </w:pPr>
      <w:r>
        <w:rPr>
          <w:rFonts w:ascii="Times New Roman;serif" w:hAnsi="Times New Roman;serif"/>
          <w:b w:val="false"/>
          <w:color w:val="000000"/>
          <w:sz w:val="22"/>
        </w:rPr>
        <w:t>(e)</w:t>
      </w:r>
      <w:r>
        <w:rPr>
          <w:rFonts w:ascii="Times New Roman;serif" w:hAnsi="Times New Roman;serif"/>
          <w:b/>
          <w:color w:val="000000"/>
          <w:sz w:val="20"/>
          <w:u w:val="single"/>
        </w:rPr>
        <w:t>Severability</w:t>
      </w:r>
      <w:r>
        <w:rPr>
          <w:rFonts w:ascii="Times New Roman;serif" w:hAnsi="Times New Roman;serif"/>
          <w:b/>
          <w:color w:val="000000"/>
          <w:sz w:val="20"/>
        </w:rPr>
        <w:t xml:space="preserve">. </w:t>
      </w:r>
      <w:r>
        <w:rPr>
          <w:rFonts w:ascii="Times New Roman;serif" w:hAnsi="Times New Roman;serif"/>
          <w:b w:val="false"/>
          <w:color w:val="000000"/>
          <w:sz w:val="20"/>
        </w:rPr>
        <w:t>If one or more provisions of this Agreement, the Grant Notice or the Plan are held to be unenforceable under Applicable Laws, the parties agree to renegotiate such provision in good faith. In the event that the parties do not reach a mutually agreeable and enforceable replacement for such provision, then (i) such provision shall be excluded from this Agreement, the Grant Notice and the Plan, (ii) the balance of the Agreement, the Grant Notice and the Plan shall be interpreted as if such provision were so excluded and (iii) the balance of the Agreement, the Grant Notice and the Plan shall be enforceable in accordance with its terms.</w:t>
      </w:r>
    </w:p>
    <w:p>
      <w:pPr>
        <w:pStyle w:val="TextBody"/>
        <w:bidi w:val="0"/>
        <w:spacing w:lineRule="auto" w:line="290" w:before="0" w:after="240"/>
        <w:ind w:left="0" w:right="0" w:firstLine="720"/>
        <w:jc w:val="both"/>
        <w:rPr/>
      </w:pPr>
      <w:r>
        <w:rPr>
          <w:rFonts w:ascii="Times New Roman;serif" w:hAnsi="Times New Roman;serif"/>
          <w:b w:val="false"/>
          <w:color w:val="000000"/>
          <w:sz w:val="22"/>
        </w:rPr>
        <w:t>(f)</w:t>
      </w:r>
      <w:r>
        <w:rPr>
          <w:rFonts w:ascii="Times New Roman;serif" w:hAnsi="Times New Roman;serif"/>
          <w:b/>
          <w:color w:val="000000"/>
          <w:sz w:val="20"/>
          <w:u w:val="single"/>
        </w:rPr>
        <w:t>Language</w:t>
      </w:r>
      <w:r>
        <w:rPr>
          <w:rFonts w:ascii="Times New Roman;serif" w:hAnsi="Times New Roman;serif"/>
          <w:b/>
          <w:color w:val="000000"/>
          <w:sz w:val="20"/>
        </w:rPr>
        <w:t xml:space="preserve">. </w:t>
      </w:r>
      <w:r>
        <w:rPr>
          <w:rFonts w:ascii="Times New Roman;serif" w:hAnsi="Times New Roman;serif"/>
          <w:b w:val="false"/>
          <w:color w:val="000000"/>
          <w:sz w:val="20"/>
        </w:rPr>
        <w:t>If Participant has received this Agreement, the Grant Notice, the Performance Memo, the Plan or any other document related to the PSUs and/or the Plan translated into a language other than English and if the meaning of the translated version is different than the English version, the English version will control.</w:t>
      </w:r>
    </w:p>
    <w:p>
      <w:pPr>
        <w:pStyle w:val="TextBody"/>
        <w:bidi w:val="0"/>
        <w:spacing w:lineRule="auto" w:line="290" w:before="0" w:after="240"/>
        <w:ind w:left="0" w:right="0" w:firstLine="720"/>
        <w:jc w:val="both"/>
        <w:rPr/>
      </w:pPr>
      <w:r>
        <w:rPr>
          <w:rFonts w:ascii="Times New Roman;serif" w:hAnsi="Times New Roman;serif"/>
          <w:b w:val="false"/>
          <w:color w:val="000000"/>
          <w:sz w:val="22"/>
        </w:rPr>
        <w:t>(g)</w:t>
      </w:r>
      <w:r>
        <w:rPr>
          <w:rFonts w:ascii="Times New Roman;serif" w:hAnsi="Times New Roman;serif"/>
          <w:b/>
          <w:color w:val="000000"/>
          <w:sz w:val="20"/>
          <w:u w:val="single"/>
        </w:rPr>
        <w:t>Imposition of Other Requirements</w:t>
      </w:r>
      <w:r>
        <w:rPr>
          <w:rFonts w:ascii="Times New Roman;serif" w:hAnsi="Times New Roman;serif"/>
          <w:b/>
          <w:color w:val="000000"/>
          <w:sz w:val="20"/>
        </w:rPr>
        <w:t xml:space="preserve">. </w:t>
      </w:r>
      <w:r>
        <w:rPr>
          <w:rFonts w:ascii="Times New Roman;serif" w:hAnsi="Times New Roman;serif"/>
          <w:b w:val="false"/>
          <w:color w:val="000000"/>
          <w:sz w:val="20"/>
        </w:rPr>
        <w:t xml:space="preserve">The Company reserves the right to impose other requirements on Participant’s participation in the Plan, on the PSUs and on any Shares allocated to the PSUs, to the extent the Company determines it is necessary or advisable for legal or administrative reasons, and to require Participant to sign any additional agreements or undertakings that may be necessary to accomplish the foregoing. Participant also acknowledges that the Applicable Laws of the country in which Participant is residing or working at the time of grant, vesting and settlement of the PSUs or the sale of Shares received pursuant to the PSUs (including any rules or regulations governing securities, foreign exchange, tax, labor, or other matters) may subject Participant </w:t>
      </w:r>
    </w:p>
    <w:p>
      <w:pPr>
        <w:pStyle w:val="TextBody"/>
        <w:bidi w:val="0"/>
        <w:spacing w:before="0" w:after="160"/>
        <w:jc w:val="both"/>
        <w:rPr/>
      </w:pPr>
      <w:r>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146685"/>
                <wp:effectExtent l="0" t="0" r="0" b="0"/>
                <wp:wrapNone/>
                <wp:docPr id="172" name="Frame1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90" w:before="0" w:after="16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90" w:before="0" w:after="16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90" w:before="0" w:after="240"/>
        <w:jc w:val="both"/>
        <w:rPr>
          <w:rFonts w:ascii="Times New Roman;serif" w:hAnsi="Times New Roman;serif"/>
          <w:b w:val="false"/>
          <w:color w:val="000000"/>
          <w:sz w:val="20"/>
        </w:rPr>
      </w:pPr>
      <w:r>
        <w:rPr>
          <w:rFonts w:ascii="Times New Roman;serif" w:hAnsi="Times New Roman;serif"/>
          <w:b w:val="false"/>
          <w:color w:val="000000"/>
          <w:sz w:val="20"/>
        </w:rPr>
        <w:t>to additional procedural or regulatory requirements that Participant is and will be solely responsible for and must fulfill. Such requirements may be outlined in, but are not limited to, any Addendum attached hereto.</w:t>
      </w:r>
    </w:p>
    <w:p>
      <w:pPr>
        <w:pStyle w:val="TextBody"/>
        <w:bidi w:val="0"/>
        <w:spacing w:lineRule="auto" w:line="292" w:before="0" w:after="240"/>
        <w:jc w:val="both"/>
        <w:rPr>
          <w:rFonts w:ascii="Times New Roman;serif" w:hAnsi="Times New Roman;serif"/>
          <w:b w:val="false"/>
          <w:color w:val="000000"/>
          <w:sz w:val="20"/>
        </w:rPr>
      </w:pPr>
      <w:r>
        <w:rPr>
          <w:rFonts w:ascii="Times New Roman;serif" w:hAnsi="Times New Roman;serif"/>
          <w:b w:val="false"/>
          <w:color w:val="000000"/>
          <w:sz w:val="20"/>
        </w:rPr>
        <w:t>Notwithstanding any provision herein, the PSUs and Participant’s participation in the Plan shall be subject to any applicable special terms and conditions or disclosures as set forth in any Addendum attached hereto.</w:t>
      </w:r>
    </w:p>
    <w:p>
      <w:pPr>
        <w:pStyle w:val="TextBody"/>
        <w:bidi w:val="0"/>
        <w:spacing w:lineRule="auto" w:line="290" w:before="0" w:after="240"/>
        <w:ind w:left="0" w:right="0" w:firstLine="720"/>
        <w:jc w:val="both"/>
        <w:rPr/>
      </w:pPr>
      <w:r>
        <w:rPr>
          <w:rFonts w:ascii="Times New Roman;serif" w:hAnsi="Times New Roman;serif"/>
          <w:b w:val="false"/>
          <w:color w:val="000000"/>
          <w:sz w:val="22"/>
        </w:rPr>
        <w:t>(h)</w:t>
      </w:r>
      <w:r>
        <w:rPr>
          <w:rFonts w:ascii="Times New Roman;serif" w:hAnsi="Times New Roman;serif"/>
          <w:b/>
          <w:color w:val="000000"/>
          <w:sz w:val="20"/>
          <w:u w:val="single"/>
        </w:rPr>
        <w:t>Notices</w:t>
      </w:r>
      <w:r>
        <w:rPr>
          <w:rFonts w:ascii="Times New Roman;serif" w:hAnsi="Times New Roman;serif"/>
          <w:b/>
          <w:color w:val="000000"/>
          <w:sz w:val="20"/>
        </w:rPr>
        <w:t xml:space="preserve">. </w:t>
      </w:r>
      <w:r>
        <w:rPr>
          <w:rFonts w:ascii="Times New Roman;serif" w:hAnsi="Times New Roman;serif"/>
          <w:b w:val="false"/>
          <w:color w:val="000000"/>
          <w:sz w:val="20"/>
        </w:rPr>
        <w:t>Any notice, demand or request required or permitted to be given under this Agreement shall be in writing and shall be deemed sufficient when delivered personally or by overnight courier or sent by email or fax, or 48 hours after being deposited in the U.S. mail or a comparable foreign mail service, as certified or registered mail with postage or shipping charges prepaid, addressed to the party to be notified at such party’s address as set forth on the signature page, as subsequently modified by written notice, or if no address is specified on the signature page, at the most recent address, email or fax number set forth in the Company’s books and records.</w:t>
      </w:r>
    </w:p>
    <w:p>
      <w:pPr>
        <w:pStyle w:val="TextBody"/>
        <w:bidi w:val="0"/>
        <w:spacing w:lineRule="auto" w:line="290" w:before="0" w:after="240"/>
        <w:ind w:left="0" w:right="0" w:firstLine="720"/>
        <w:jc w:val="both"/>
        <w:rPr/>
      </w:pPr>
      <w:r>
        <w:rPr>
          <w:rFonts w:ascii="Times New Roman;serif" w:hAnsi="Times New Roman;serif"/>
          <w:b w:val="false"/>
          <w:color w:val="000000"/>
          <w:sz w:val="22"/>
        </w:rPr>
        <w:t>(i)</w:t>
      </w:r>
      <w:r>
        <w:rPr>
          <w:rFonts w:ascii="Times New Roman;serif" w:hAnsi="Times New Roman;serif"/>
          <w:b/>
          <w:color w:val="000000"/>
          <w:sz w:val="20"/>
          <w:u w:val="single"/>
        </w:rPr>
        <w:t>Counterparts</w:t>
      </w:r>
      <w:r>
        <w:rPr>
          <w:rFonts w:ascii="Times New Roman;serif" w:hAnsi="Times New Roman;serif"/>
          <w:b/>
          <w:color w:val="000000"/>
          <w:sz w:val="20"/>
        </w:rPr>
        <w:t xml:space="preserve">. </w:t>
      </w:r>
      <w:r>
        <w:rPr>
          <w:rFonts w:ascii="Times New Roman;serif" w:hAnsi="Times New Roman;serif"/>
          <w:b w:val="false"/>
          <w:color w:val="000000"/>
          <w:sz w:val="20"/>
        </w:rPr>
        <w:t>This Agreement may be executed in two or more counterparts, each of which shall be deemed an original and all of which together shall constitute one instrument. Facsimile, email or other electronic execution and delivery of this Agreement (including but not limited to execution by electronic signature or click-through electronic acceptance) shall constitute valid and binding execution and delivery for all purposes and shall be deemed to be, and have the effect of, an original signature.</w:t>
      </w:r>
    </w:p>
    <w:p>
      <w:pPr>
        <w:pStyle w:val="TextBody"/>
        <w:bidi w:val="0"/>
        <w:spacing w:lineRule="auto" w:line="290" w:before="0" w:after="240"/>
        <w:ind w:left="0" w:right="0" w:firstLine="720"/>
        <w:jc w:val="both"/>
        <w:rPr/>
      </w:pPr>
      <w:r>
        <w:rPr>
          <w:rFonts w:ascii="Times New Roman;serif" w:hAnsi="Times New Roman;serif"/>
          <w:b w:val="false"/>
          <w:color w:val="000000"/>
          <w:sz w:val="22"/>
        </w:rPr>
        <w:t>(j)</w:t>
      </w:r>
      <w:r>
        <w:rPr>
          <w:rFonts w:ascii="Times New Roman;serif" w:hAnsi="Times New Roman;serif"/>
          <w:b/>
          <w:color w:val="000000"/>
          <w:sz w:val="20"/>
          <w:u w:val="single"/>
        </w:rPr>
        <w:t>Successors and Assigns</w:t>
      </w:r>
      <w:r>
        <w:rPr>
          <w:rFonts w:ascii="Times New Roman;serif" w:hAnsi="Times New Roman;serif"/>
          <w:b/>
          <w:color w:val="000000"/>
          <w:sz w:val="20"/>
        </w:rPr>
        <w:t xml:space="preserve">. </w:t>
      </w:r>
      <w:r>
        <w:rPr>
          <w:rFonts w:ascii="Times New Roman;serif" w:hAnsi="Times New Roman;serif"/>
          <w:b w:val="false"/>
          <w:color w:val="000000"/>
          <w:sz w:val="20"/>
        </w:rPr>
        <w:t>The rights and benefits of this Agreement shall inure to the benefit of, and be enforceable by the Company’s successors and assigns. The rights and obligations of Participant under this Agreement may only be assigned with the prior written consent of the Company.</w:t>
      </w:r>
    </w:p>
    <w:p>
      <w:pPr>
        <w:pStyle w:val="TextBody"/>
        <w:bidi w:val="0"/>
        <w:spacing w:lineRule="auto" w:line="290" w:before="0" w:after="240"/>
        <w:ind w:left="0" w:right="0" w:firstLine="720"/>
        <w:jc w:val="both"/>
        <w:rPr/>
      </w:pPr>
      <w:r>
        <w:rPr>
          <w:rFonts w:ascii="Times New Roman;serif" w:hAnsi="Times New Roman;serif"/>
          <w:b w:val="false"/>
          <w:color w:val="000000"/>
          <w:sz w:val="22"/>
        </w:rPr>
        <w:t>(k)</w:t>
      </w:r>
      <w:r>
        <w:rPr>
          <w:rFonts w:ascii="Times New Roman;serif" w:hAnsi="Times New Roman;serif"/>
          <w:b/>
          <w:color w:val="000000"/>
          <w:sz w:val="20"/>
          <w:u w:val="single"/>
        </w:rPr>
        <w:t>Electronic Delivery</w:t>
      </w:r>
      <w:r>
        <w:rPr>
          <w:rFonts w:ascii="Times New Roman;serif" w:hAnsi="Times New Roman;serif"/>
          <w:b/>
          <w:color w:val="000000"/>
          <w:sz w:val="20"/>
        </w:rPr>
        <w:t xml:space="preserve">. </w:t>
      </w:r>
      <w:r>
        <w:rPr>
          <w:rFonts w:ascii="Times New Roman;serif" w:hAnsi="Times New Roman;serif"/>
          <w:b w:val="false"/>
          <w:color w:val="000000"/>
          <w:sz w:val="20"/>
        </w:rPr>
        <w:t>The Company may, in its sole discretion, decide to deliver to Participant by email or any other electronic means any documents, elections or notices related to this Agreement, the PSUs, the Shares allocated to the PSUs, Participant’s current or future participation in the Plan, securities of the Company or any member of the Company Group or any other matter, including documents, elections and/or notices required to be delivered to Participant by applicable securities law or any other Applicable Laws or the Company’s Amended Certificate of Incorporation or Bylaws. By accepting this Agreement, whether electronically or otherwise, Participant hereby consents to receive such documents and notices by such electronic delivery and agrees to participate in the Plan through an on-line or electronic system established and maintained by the Company or a third party designated by the Company, including but not limited to the use of electronic signatures or click-through electronic acceptance of terms and conditions.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60"/>
        <w:jc w:val="both"/>
        <w:rPr/>
      </w:pPr>
      <w:r>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146685"/>
                <wp:effectExtent l="0" t="0" r="0" b="0"/>
                <wp:wrapNone/>
                <wp:docPr id="173" name="Frame1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90" w:before="0" w:after="16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90" w:before="0" w:after="16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center"/>
        <w:rPr/>
      </w:pPr>
      <w:r>
        <w:rPr>
          <w:rFonts w:ascii="Times New Roman;serif" w:hAnsi="Times New Roman;serif"/>
          <w:b/>
          <w:color w:val="000000"/>
          <w:sz w:val="20"/>
        </w:rPr>
        <w:t>PERFORMANCE MEMO</w:t>
        <w:br/>
        <w:t>TO</w:t>
        <w:br/>
        <w:t>PERFORMANCE SHARE UNITS AGREEMENT</w:t>
      </w:r>
      <w:r>
        <w:rPr>
          <w:rFonts w:ascii="Times New Roman;serif" w:hAnsi="Times New Roman;serif"/>
          <w:b w:val="false"/>
          <w:color w:val="000000"/>
          <w:sz w:val="20"/>
        </w:rPr>
        <w:br/>
        <w:br/>
      </w:r>
      <w:r>
        <w:rPr>
          <w:rFonts w:ascii="Times New Roman;serif" w:hAnsi="Times New Roman;serif"/>
          <w:b/>
          <w:color w:val="000000"/>
          <w:sz w:val="20"/>
        </w:rPr>
        <w:t>PERFORMANCE GOALS FOR PSU AWARD</w:t>
      </w:r>
    </w:p>
    <w:p>
      <w:pPr>
        <w:pStyle w:val="TextBody"/>
        <w:bidi w:val="0"/>
        <w:spacing w:before="0" w:after="240"/>
        <w:jc w:val="both"/>
        <w:rPr/>
      </w:pPr>
      <w:r>
        <w:rPr/>
      </w:r>
    </w:p>
    <w:p>
      <w:pPr>
        <w:pStyle w:val="TextBody"/>
        <w:bidi w:val="0"/>
        <w:spacing w:lineRule="auto" w:line="292" w:before="0" w:after="240"/>
        <w:jc w:val="both"/>
        <w:rPr>
          <w:rFonts w:ascii="Times New Roman;serif" w:hAnsi="Times New Roman;serif"/>
          <w:b w:val="false"/>
          <w:color w:val="000000"/>
          <w:sz w:val="20"/>
        </w:rPr>
      </w:pPr>
      <w:r>
        <w:rPr>
          <w:rFonts w:ascii="Times New Roman;serif" w:hAnsi="Times New Roman;serif"/>
          <w:b w:val="false"/>
          <w:color w:val="000000"/>
          <w:sz w:val="20"/>
        </w:rPr>
        <w:t>Date of Grant: __________</w:t>
      </w:r>
    </w:p>
    <w:p>
      <w:pPr>
        <w:pStyle w:val="TextBody"/>
        <w:bidi w:val="0"/>
        <w:spacing w:lineRule="auto" w:line="292" w:before="0" w:after="240"/>
        <w:jc w:val="both"/>
        <w:rPr/>
      </w:pPr>
      <w:r>
        <w:rPr>
          <w:rFonts w:ascii="Times New Roman;serif" w:hAnsi="Times New Roman;serif"/>
          <w:b w:val="false"/>
          <w:color w:val="000000"/>
          <w:sz w:val="20"/>
        </w:rPr>
        <w:t>This Performance Memorandum (the “</w:t>
      </w:r>
      <w:r>
        <w:rPr>
          <w:rFonts w:ascii="Times New Roman;serif" w:hAnsi="Times New Roman;serif"/>
          <w:b w:val="false"/>
          <w:color w:val="000000"/>
          <w:sz w:val="20"/>
          <w:u w:val="single"/>
        </w:rPr>
        <w:t>Performance Memo</w:t>
      </w:r>
      <w:r>
        <w:rPr>
          <w:color w:val="000000"/>
        </w:rPr>
        <w:t>”</w:t>
      </w:r>
      <w:r>
        <w:rPr>
          <w:rFonts w:ascii="Times New Roman;serif" w:hAnsi="Times New Roman;serif"/>
          <w:b w:val="false"/>
          <w:color w:val="000000"/>
          <w:sz w:val="20"/>
        </w:rPr>
        <w:t>) applies to the PSUs granted to the Participant on the Date of Grant and applies with respect to the Performance Share Unit Agreement (the “</w:t>
      </w:r>
      <w:r>
        <w:rPr>
          <w:rFonts w:ascii="Times New Roman;serif" w:hAnsi="Times New Roman;serif"/>
          <w:b w:val="false"/>
          <w:color w:val="000000"/>
          <w:sz w:val="20"/>
          <w:u w:val="single"/>
        </w:rPr>
        <w:t>PSU Agreement</w:t>
      </w:r>
      <w:r>
        <w:rPr>
          <w:color w:val="000000"/>
        </w:rPr>
        <w:t>”</w:t>
      </w:r>
      <w:r>
        <w:rPr>
          <w:rFonts w:ascii="Times New Roman;serif" w:hAnsi="Times New Roman;serif"/>
          <w:b w:val="false"/>
          <w:color w:val="000000"/>
          <w:sz w:val="20"/>
        </w:rPr>
        <w:t>) and the Performance Share Unit Grant Notice between the Company and the Participant (the “</w:t>
      </w:r>
      <w:r>
        <w:rPr>
          <w:rFonts w:ascii="Times New Roman;serif" w:hAnsi="Times New Roman;serif"/>
          <w:b w:val="false"/>
          <w:color w:val="000000"/>
          <w:sz w:val="20"/>
          <w:u w:val="single"/>
        </w:rPr>
        <w:t>Grant Notice</w:t>
      </w:r>
      <w:r>
        <w:rPr>
          <w:color w:val="000000"/>
        </w:rPr>
        <w:t>”</w:t>
      </w:r>
      <w:r>
        <w:rPr>
          <w:rFonts w:ascii="Times New Roman;serif" w:hAnsi="Times New Roman;serif"/>
          <w:b w:val="false"/>
          <w:color w:val="000000"/>
          <w:sz w:val="20"/>
        </w:rPr>
        <w:t>). Capitalized terms used in this Performance Memo that are not specifically defined in this Performance Memo have the meanings assigned to them in the PSU Agreement, the Grant Notice or in the Plan, as applicable.</w:t>
      </w:r>
    </w:p>
    <w:p>
      <w:pPr>
        <w:pStyle w:val="TextBody"/>
        <w:bidi w:val="0"/>
        <w:spacing w:lineRule="auto" w:line="292"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The actual number of PSUs that become vested will be determined by the Committee using actual performance results under the rules described below. Any PSUs not vested will be canceled and forfeited. </w:t>
      </w:r>
    </w:p>
    <w:p>
      <w:pPr>
        <w:pStyle w:val="TextBody"/>
        <w:bidi w:val="0"/>
        <w:spacing w:lineRule="auto" w:line="290" w:before="24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w:t>
      </w:r>
    </w:p>
    <w:p>
      <w:pPr>
        <w:pStyle w:val="TextBody"/>
        <w:bidi w:val="0"/>
        <w:spacing w:lineRule="auto" w:line="290" w:before="0" w:after="240"/>
        <w:ind w:left="0" w:right="0" w:hanging="360"/>
        <w:jc w:val="both"/>
        <w:rPr/>
      </w:pPr>
      <w:r>
        <w:rPr>
          <w:rFonts w:ascii="Times New Roman;serif" w:hAnsi="Times New Roman;serif"/>
          <w:b w:val="false"/>
          <w:color w:val="000000"/>
          <w:sz w:val="24"/>
        </w:rPr>
        <w:t>(a)</w:t>
      </w:r>
      <w:r>
        <w:rPr>
          <w:rFonts w:ascii="Times New Roman;serif" w:hAnsi="Times New Roman;serif"/>
          <w:b w:val="false"/>
          <w:color w:val="000000"/>
          <w:sz w:val="20"/>
          <w:u w:val="single"/>
        </w:rPr>
        <w:t>Normal Vesting, Section 5 of the Grant Notice</w:t>
      </w:r>
      <w:r>
        <w:rPr>
          <w:rFonts w:ascii="Times New Roman;serif" w:hAnsi="Times New Roman;serif"/>
          <w:b w:val="false"/>
          <w:color w:val="000000"/>
          <w:sz w:val="20"/>
        </w:rPr>
        <w:t xml:space="preserve">. The total number of PSUs that will vest on each of the Vesting Dates will be equal to the number of Target PSUs in the Vesting Tranche for the applicable Vesting Date, multiplied by the Vesting Percentage, as determined in Sections 3 and 4 of this Performance Memo. </w:t>
      </w:r>
    </w:p>
    <w:p>
      <w:pPr>
        <w:pStyle w:val="TextBody"/>
        <w:bidi w:val="0"/>
        <w:spacing w:lineRule="auto" w:line="290" w:before="0" w:after="240"/>
        <w:ind w:left="0" w:right="0" w:hanging="360"/>
        <w:jc w:val="both"/>
        <w:rPr/>
      </w:pPr>
      <w:r>
        <w:rPr>
          <w:rFonts w:ascii="Times New Roman;serif" w:hAnsi="Times New Roman;serif"/>
          <w:b w:val="false"/>
          <w:color w:val="000000"/>
          <w:sz w:val="24"/>
        </w:rPr>
        <w:t>(b)</w:t>
      </w:r>
      <w:r>
        <w:rPr>
          <w:rFonts w:ascii="Times New Roman;serif" w:hAnsi="Times New Roman;serif"/>
          <w:b w:val="false"/>
          <w:color w:val="000000"/>
          <w:sz w:val="20"/>
          <w:u w:val="single"/>
        </w:rPr>
        <w:t>Alternative Vesting Events, Section 7 of the Grant Notice</w:t>
      </w:r>
      <w:r>
        <w:rPr>
          <w:rFonts w:ascii="Times New Roman;serif" w:hAnsi="Times New Roman;serif"/>
          <w:b w:val="false"/>
          <w:color w:val="000000"/>
          <w:sz w:val="20"/>
        </w:rPr>
        <w:t xml:space="preserve">. The total number of PSUs that will vest as of the date of Participant’s termination of Continuous Service Status by reason of an event designated under Section 7 of the Grant Notice shall be equal to the portion of the Target PSUs that will vest on such date pursuant to the applicable provision of Section 7 of the Grant Notice, multiplied by the Vesting Percentage as determined in Sections 3 and 4 of this Performance Memo, provided, that, for purposes of this Section 1(b) of this Performance Memo, the determination under Sections 3 and 4 of the Performance Memo, including the definitions of Stock Price CAGR and Vesting Date Price, will be determined as if the date of Participant’s termination of Continuous Service Status is the Vesting Date and as if the amount eligible to vest pursuant to the applicable provision of Section 7 of the Grant Notice is the Vesting Tranche. </w:t>
      </w:r>
    </w:p>
    <w:p>
      <w:pPr>
        <w:pStyle w:val="TextBody"/>
        <w:bidi w:val="0"/>
        <w:spacing w:lineRule="auto" w:line="290" w:before="0" w:after="240"/>
        <w:ind w:left="0" w:right="0" w:hanging="360"/>
        <w:jc w:val="both"/>
        <w:rPr/>
      </w:pPr>
      <w:r>
        <w:rPr>
          <w:rFonts w:ascii="Times New Roman;serif" w:hAnsi="Times New Roman;serif"/>
          <w:b w:val="false"/>
          <w:color w:val="000000"/>
          <w:sz w:val="24"/>
        </w:rPr>
        <w:t>(c)</w:t>
      </w:r>
      <w:r>
        <w:rPr>
          <w:rFonts w:ascii="Times New Roman;serif" w:hAnsi="Times New Roman;serif"/>
          <w:b w:val="false"/>
          <w:color w:val="000000"/>
          <w:sz w:val="20"/>
          <w:u w:val="single"/>
        </w:rPr>
        <w:t>Change in Control, Section 8 of the Grant Notice</w:t>
      </w:r>
      <w:r>
        <w:rPr>
          <w:rFonts w:ascii="Times New Roman;serif" w:hAnsi="Times New Roman;serif"/>
          <w:b w:val="false"/>
          <w:color w:val="000000"/>
          <w:sz w:val="20"/>
        </w:rPr>
        <w:t>. If a Change in Control occurs prior to the final Vesting Date, the Vesting Percentage shall be determined as of the date of such Change in Control in accordance with Sections 3 and 4 of this Performance Memo with the following modifications for purposes of this Section 1(c): (1) the determination under Sections 3 and 4 of the Performance Memo will be determined as if the date of the Change in Control is the Vesting Date and as if the amount eligible to vest pursuant to the applicable provision of Section 8 of the Grant Notice at or after the Change in Control, as applicable, is the Vesting Tranche, (2) except as provided in the following clause (3), the Vesting Date Price will be equal to the per share consideration or transaction price that is being received by shareholders of Common Stock or the Company in the Change in Control transaction, and (3) in the case of a Change in Control with no transaction price or consideration, the Vesting Date Price will be equal to the average closing price of a Share of Common Stock measured during the 60-day period that ends on the day prior to the date of the Change in Control (the “</w:t>
      </w:r>
      <w:r>
        <w:rPr>
          <w:rFonts w:ascii="Times New Roman;serif" w:hAnsi="Times New Roman;serif"/>
          <w:b w:val="false"/>
          <w:color w:val="000000"/>
          <w:sz w:val="20"/>
          <w:u w:val="single"/>
        </w:rPr>
        <w:t>CIC Modifier</w:t>
      </w:r>
      <w:r>
        <w:rPr>
          <w:color w:val="000000"/>
        </w:rPr>
        <w:t>”</w:t>
      </w:r>
      <w:r>
        <w:rPr>
          <w:rFonts w:ascii="Times New Roman;serif" w:hAnsi="Times New Roman;serif"/>
          <w:b w:val="false"/>
          <w:color w:val="000000"/>
          <w:sz w:val="20"/>
        </w:rPr>
        <w:t xml:space="preserve">). </w:t>
      </w:r>
    </w:p>
    <w:p>
      <w:pPr>
        <w:pStyle w:val="TextBody"/>
        <w:bidi w:val="0"/>
        <w:spacing w:before="0" w:after="160"/>
        <w:jc w:val="both"/>
        <w:rPr/>
      </w:pPr>
      <w:r>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455295"/>
                <wp:effectExtent l="0" t="0" r="0" b="0"/>
                <wp:wrapNone/>
                <wp:docPr id="174" name="Frame172"/>
                <a:graphic xmlns:a="http://schemas.openxmlformats.org/drawingml/2006/main">
                  <a:graphicData uri="http://schemas.microsoft.com/office/word/2010/wordprocessingShape">
                    <wps:wsp>
                      <wps:cNvSpPr txBox="1"/>
                      <wps:spPr>
                        <a:xfrm>
                          <a:off x="0" y="0"/>
                          <a:ext cx="6480175" cy="455295"/>
                        </a:xfrm>
                        <a:prstGeom prst="rect"/>
                        <a:solidFill>
                          <a:srgbClr val="FFFFFF"/>
                        </a:solidFill>
                      </wps:spPr>
                      <wps:txbx>
                        <w:txbxContent>
                          <w:p>
                            <w:pPr>
                              <w:pStyle w:val="TextBody"/>
                              <w:bidi w:val="0"/>
                              <w:spacing w:lineRule="auto" w:line="292" w:before="0" w:after="16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p>
                            <w:pPr>
                              <w:pStyle w:val="TextBody"/>
                              <w:bidi w:val="0"/>
                              <w:spacing w:before="0" w:after="16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92" w:before="0" w:after="160"/>
                        <w:jc w:val="center"/>
                        <w:rPr>
                          <w:rFonts w:ascii="Times New Roman;serif" w:hAnsi="Times New Roman;serif"/>
                          <w:b w:val="false"/>
                          <w:color w:val="000000"/>
                          <w:sz w:val="20"/>
                        </w:rPr>
                      </w:pPr>
                      <w:r>
                        <w:rPr>
                          <w:rFonts w:ascii="Times New Roman;serif" w:hAnsi="Times New Roman;serif"/>
                          <w:b w:val="false"/>
                          <w:color w:val="000000"/>
                          <w:sz w:val="20"/>
                        </w:rPr>
                        <w:t>1</w:t>
                      </w:r>
                    </w:p>
                    <w:p>
                      <w:pPr>
                        <w:pStyle w:val="TextBody"/>
                        <w:bidi w:val="0"/>
                        <w:spacing w:before="0" w:after="160"/>
                        <w:jc w:val="both"/>
                        <w:rPr/>
                      </w:pPr>
                      <w:r>
                        <w:rPr/>
                      </w:r>
                    </w:p>
                  </w:txbxContent>
                </v:textbox>
                <w10:wrap type="none"/>
              </v:rect>
            </w:pict>
          </mc:Fallback>
        </mc:AlternateContent>
      </w:r>
    </w:p>
    <w:p>
      <w:pPr>
        <w:pStyle w:val="TextBody"/>
        <w:bidi w:val="0"/>
        <w:spacing w:lineRule="auto" w:line="292" w:before="0" w:after="160"/>
        <w:jc w:val="both"/>
        <w:rPr>
          <w:rFonts w:ascii="Times New Roman;serif" w:hAnsi="Times New Roman;serif"/>
          <w:b w:val="false"/>
          <w:color w:val="000000"/>
          <w:sz w:val="20"/>
        </w:rPr>
      </w:pPr>
      <w:r>
        <w:rPr>
          <w:rFonts w:ascii="Times New Roman;serif" w:hAnsi="Times New Roman;serif"/>
          <w:b w:val="false"/>
          <w:color w:val="000000"/>
          <w:sz w:val="20"/>
        </w:rPr>
        <w:t>For purposes of determining the dollar value of the per share consideration being received by shareholders of Common Stock or the Company under this Section 1(c), in the case of a Change in Control transaction where the consideration includes Acquiror stock that is publicly traded on an establish stock exchange, the value of the Acquiror’s stock will be determined using the 7-day volume-weighted average price of Acquiror’s stock ending on the day prior to the Change in Control, unless determined otherwise by the Committee as constituted immediately prior to the Change in Control.</w:t>
      </w:r>
    </w:p>
    <w:p>
      <w:pPr>
        <w:pStyle w:val="TextBody"/>
        <w:bidi w:val="0"/>
        <w:spacing w:lineRule="auto" w:line="292" w:before="0" w:after="160"/>
        <w:jc w:val="both"/>
        <w:rPr>
          <w:rFonts w:ascii="Times New Roman;serif" w:hAnsi="Times New Roman;serif"/>
          <w:b w:val="false"/>
          <w:color w:val="000000"/>
          <w:sz w:val="20"/>
        </w:rPr>
      </w:pPr>
      <w:r>
        <w:rPr>
          <w:rFonts w:ascii="Times New Roman;serif" w:hAnsi="Times New Roman;serif"/>
          <w:b w:val="false"/>
          <w:color w:val="000000"/>
          <w:sz w:val="20"/>
        </w:rPr>
        <w:t>If, following a Change in Control, the unvested portion of the PSUs is not assumed or substituted by Acquiror, or continued by the Company, in connection with such Change in Control, the total number of PSUs that will vest on the closing of such Change in Control will be equal to the unvested portion of the PSUs that will vest on the closing of the Change in Control pursuant to Section 8 of the Grant Notice, multiplied by the CIC Modifier.</w:t>
      </w:r>
    </w:p>
    <w:p>
      <w:pPr>
        <w:pStyle w:val="TextBody"/>
        <w:bidi w:val="0"/>
        <w:spacing w:lineRule="auto" w:line="292" w:before="0" w:after="160"/>
        <w:jc w:val="both"/>
        <w:rPr>
          <w:rFonts w:ascii="Times New Roman;serif" w:hAnsi="Times New Roman;serif"/>
          <w:b w:val="false"/>
          <w:color w:val="000000"/>
          <w:sz w:val="20"/>
        </w:rPr>
      </w:pPr>
      <w:r>
        <w:rPr>
          <w:rFonts w:ascii="Times New Roman;serif" w:hAnsi="Times New Roman;serif"/>
          <w:b w:val="false"/>
          <w:color w:val="000000"/>
          <w:sz w:val="20"/>
        </w:rPr>
        <w:t>In the event that, in connection with a Change in Control, the Acquiror does assume or substitute, or the Company continues, the unvested portion of the PSUs, (1) the Vesting Percentage used for all Vesting Dates and all alternative vesting events under Section 7 of the Grant Notice following the Change in Control shall be the CIC Modifier, and (2) if Participant’s Continuous Service Status is terminated by such Acquiror or the Company without Cause or by Participant for Good Reason, in each case, within the 12-month period immediately following the Change in Control, the total number of PSUs that will vest as of the date of Participant’s termination of Continuous Service Status will be equal to the unvested portion of the PSUs multiplied by the CIC Modifier.</w:t>
      </w:r>
    </w:p>
    <w:p>
      <w:pPr>
        <w:pStyle w:val="TextBody"/>
        <w:bidi w:val="0"/>
        <w:spacing w:lineRule="auto" w:line="290" w:before="240" w:after="240"/>
        <w:ind w:left="0" w:right="0" w:hanging="360"/>
        <w:jc w:val="both"/>
        <w:rPr/>
      </w:pPr>
      <w:r>
        <w:rPr>
          <w:rFonts w:ascii="Times New Roman;serif" w:hAnsi="Times New Roman;serif"/>
          <w:b w:val="false"/>
          <w:color w:val="000000"/>
          <w:sz w:val="22"/>
        </w:rPr>
        <w:t>2.</w:t>
      </w:r>
      <w:r>
        <w:rPr>
          <w:rFonts w:ascii="Times New Roman;serif" w:hAnsi="Times New Roman;serif"/>
          <w:b w:val="false"/>
          <w:color w:val="000000"/>
          <w:sz w:val="20"/>
          <w:u w:val="single"/>
        </w:rPr>
        <w:t>Definitions</w:t>
      </w:r>
      <w:r>
        <w:rPr>
          <w:rFonts w:ascii="Times New Roman;serif" w:hAnsi="Times New Roman;serif"/>
          <w:b w:val="false"/>
          <w:color w:val="000000"/>
          <w:sz w:val="20"/>
        </w:rPr>
        <w:t>. For purposes of this the Performance Memo:</w:t>
      </w:r>
    </w:p>
    <w:p>
      <w:pPr>
        <w:pStyle w:val="TextBody"/>
        <w:bidi w:val="0"/>
        <w:spacing w:lineRule="auto" w:line="290" w:before="0" w:after="240"/>
        <w:ind w:left="0" w:right="0" w:hanging="360"/>
        <w:jc w:val="both"/>
        <w:rPr/>
      </w:pPr>
      <w:r>
        <w:rPr>
          <w:rFonts w:ascii="Times New Roman;serif" w:hAnsi="Times New Roman;serif"/>
          <w:b w:val="false"/>
          <w:color w:val="000000"/>
          <w:sz w:val="24"/>
        </w:rPr>
        <w:t>(a)</w:t>
      </w:r>
      <w:r>
        <w:rPr>
          <w:color w:val="000000"/>
        </w:rPr>
        <w:t>“</w:t>
      </w:r>
      <w:r>
        <w:rPr>
          <w:rFonts w:ascii="Times New Roman;serif" w:hAnsi="Times New Roman;serif"/>
          <w:b w:val="false"/>
          <w:color w:val="000000"/>
          <w:sz w:val="20"/>
          <w:u w:val="single"/>
        </w:rPr>
        <w:t>Grant Date Price</w:t>
      </w:r>
      <w:r>
        <w:rPr>
          <w:color w:val="000000"/>
        </w:rPr>
        <w:t xml:space="preserve">” </w:t>
      </w:r>
      <w:r>
        <w:rPr>
          <w:rFonts w:ascii="Times New Roman;serif" w:hAnsi="Times New Roman;serif"/>
          <w:b w:val="false"/>
          <w:color w:val="000000"/>
          <w:sz w:val="20"/>
        </w:rPr>
        <w:t>means the average closing price of a Share of Common Stock measured during the 60-day period that ends on the day prior to the Date of Grant.</w:t>
      </w:r>
    </w:p>
    <w:p>
      <w:pPr>
        <w:pStyle w:val="TextBody"/>
        <w:bidi w:val="0"/>
        <w:spacing w:lineRule="auto" w:line="290" w:before="0" w:after="240"/>
        <w:ind w:left="0" w:right="0" w:hanging="360"/>
        <w:jc w:val="both"/>
        <w:rPr/>
      </w:pPr>
      <w:r>
        <w:rPr>
          <w:rFonts w:ascii="Times New Roman;serif" w:hAnsi="Times New Roman;serif"/>
          <w:b w:val="false"/>
          <w:color w:val="000000"/>
          <w:sz w:val="24"/>
        </w:rPr>
        <w:t>(b)</w:t>
      </w:r>
      <w:r>
        <w:rPr>
          <w:color w:val="000000"/>
        </w:rPr>
        <w:t>“</w:t>
      </w:r>
      <w:r>
        <w:rPr>
          <w:rFonts w:ascii="Times New Roman;serif" w:hAnsi="Times New Roman;serif"/>
          <w:b w:val="false"/>
          <w:color w:val="000000"/>
          <w:sz w:val="20"/>
          <w:u w:val="single"/>
        </w:rPr>
        <w:t>Stock Price CAGR</w:t>
      </w:r>
      <w:r>
        <w:rPr>
          <w:color w:val="000000"/>
        </w:rPr>
        <w:t xml:space="preserve">” </w:t>
      </w:r>
      <w:r>
        <w:rPr>
          <w:rFonts w:ascii="Times New Roman;serif" w:hAnsi="Times New Roman;serif"/>
          <w:b w:val="false"/>
          <w:color w:val="000000"/>
          <w:sz w:val="20"/>
        </w:rPr>
        <w:t xml:space="preserve">means, with respect to a Vesting Tranche the compound annual growth rate of the Company’s Common Stock measured by comparing the Grant Date Price to the Vesting Date Price applicable to such Vesting Tranche. The Stock Price CAGR as of each applicable Vesting Date will be determined by the Committee in its sole discretion. </w:t>
      </w:r>
    </w:p>
    <w:p>
      <w:pPr>
        <w:pStyle w:val="TextBody"/>
        <w:bidi w:val="0"/>
        <w:spacing w:lineRule="auto" w:line="290" w:before="0" w:after="240"/>
        <w:ind w:left="0" w:right="0" w:hanging="360"/>
        <w:jc w:val="both"/>
        <w:rPr/>
      </w:pPr>
      <w:r>
        <w:rPr>
          <w:rFonts w:ascii="Times New Roman;serif" w:hAnsi="Times New Roman;serif"/>
          <w:b w:val="false"/>
          <w:color w:val="000000"/>
          <w:sz w:val="24"/>
        </w:rPr>
        <w:t>(c)</w:t>
      </w:r>
      <w:r>
        <w:rPr>
          <w:color w:val="000000"/>
        </w:rPr>
        <w:t>“</w:t>
      </w:r>
      <w:r>
        <w:rPr>
          <w:rFonts w:ascii="Times New Roman;serif" w:hAnsi="Times New Roman;serif"/>
          <w:b w:val="false"/>
          <w:color w:val="000000"/>
          <w:sz w:val="20"/>
          <w:u w:val="single"/>
        </w:rPr>
        <w:t>Vesting Date Price</w:t>
      </w:r>
      <w:r>
        <w:rPr>
          <w:color w:val="000000"/>
        </w:rPr>
        <w:t xml:space="preserve">” </w:t>
      </w:r>
      <w:r>
        <w:rPr>
          <w:rFonts w:ascii="Times New Roman;serif" w:hAnsi="Times New Roman;serif"/>
          <w:b w:val="false"/>
          <w:color w:val="000000"/>
          <w:sz w:val="20"/>
        </w:rPr>
        <w:t>means, with respect to a Vesting Tranche, the average closing price of a Share of Common Stock measured during the 60-day period that ends on the day prior to the Vesting Date applicable to such Vesting Tranche.</w:t>
      </w:r>
    </w:p>
    <w:p>
      <w:pPr>
        <w:pStyle w:val="TextBody"/>
        <w:bidi w:val="0"/>
        <w:spacing w:lineRule="auto" w:line="290" w:before="0" w:after="240"/>
        <w:ind w:left="0" w:right="0" w:hanging="360"/>
        <w:jc w:val="both"/>
        <w:rPr/>
      </w:pPr>
      <w:r>
        <w:rPr>
          <w:rFonts w:ascii="Times New Roman;serif" w:hAnsi="Times New Roman;serif"/>
          <w:b w:val="false"/>
          <w:color w:val="000000"/>
          <w:sz w:val="24"/>
        </w:rPr>
        <w:t>(d)</w:t>
      </w:r>
      <w:r>
        <w:rPr>
          <w:color w:val="000000"/>
        </w:rPr>
        <w:t>“</w:t>
      </w:r>
      <w:r>
        <w:rPr>
          <w:rFonts w:ascii="Times New Roman;serif" w:hAnsi="Times New Roman;serif"/>
          <w:b w:val="false"/>
          <w:color w:val="000000"/>
          <w:sz w:val="20"/>
          <w:u w:val="single"/>
        </w:rPr>
        <w:t>Vesting Tranche</w:t>
      </w:r>
      <w:r>
        <w:rPr>
          <w:color w:val="000000"/>
        </w:rPr>
        <w:t xml:space="preserve">” </w:t>
      </w:r>
      <w:r>
        <w:rPr>
          <w:rFonts w:ascii="Times New Roman;serif" w:hAnsi="Times New Roman;serif"/>
          <w:b w:val="false"/>
          <w:color w:val="000000"/>
          <w:sz w:val="20"/>
        </w:rPr>
        <w:t xml:space="preserve">means with respect to a particular Vesting Date, the maximum number of Target PSUs that could vest on such Vesting Date, as specified in Section 5 of the Grant Notice. </w:t>
      </w:r>
    </w:p>
    <w:p>
      <w:pPr>
        <w:pStyle w:val="TextBody"/>
        <w:bidi w:val="0"/>
        <w:spacing w:lineRule="auto" w:line="290" w:before="240" w:after="240"/>
        <w:ind w:left="0" w:right="0" w:hanging="360"/>
        <w:jc w:val="both"/>
        <w:rPr/>
      </w:pPr>
      <w:r>
        <w:rPr>
          <w:rFonts w:ascii="Times New Roman;serif" w:hAnsi="Times New Roman;serif"/>
          <w:b w:val="false"/>
          <w:color w:val="000000"/>
          <w:sz w:val="22"/>
        </w:rPr>
        <w:t>3.</w:t>
      </w:r>
      <w:r>
        <w:rPr>
          <w:rFonts w:ascii="Times New Roman;serif" w:hAnsi="Times New Roman;serif"/>
          <w:b w:val="false"/>
          <w:color w:val="000000"/>
          <w:sz w:val="20"/>
          <w:u w:val="single"/>
        </w:rPr>
        <w:t>Stock Price CAGR Performance Matrix</w:t>
      </w:r>
      <w:r>
        <w:rPr>
          <w:rFonts w:ascii="Times New Roman;serif" w:hAnsi="Times New Roman;serif"/>
          <w:b w:val="false"/>
          <w:color w:val="000000"/>
          <w:sz w:val="20"/>
        </w:rPr>
        <w:t>. From 0% to _____% of the PSUs in the applicable Vesting Tranche will vest based on achievement of the Stock Price CAGR Performance Goal on each Vesting Date as set forth in the following matrix (the “</w:t>
      </w:r>
      <w:r>
        <w:rPr>
          <w:rFonts w:ascii="Times New Roman;serif" w:hAnsi="Times New Roman;serif"/>
          <w:b w:val="false"/>
          <w:color w:val="000000"/>
          <w:sz w:val="20"/>
          <w:u w:val="single"/>
        </w:rPr>
        <w:t>Stock Price CAGR Matrix</w:t>
      </w:r>
      <w:r>
        <w:rPr>
          <w:color w:val="000000"/>
        </w:rPr>
        <w:t>”</w:t>
      </w:r>
      <w:r>
        <w:rPr>
          <w:rFonts w:ascii="Times New Roman;serif" w:hAnsi="Times New Roman;serif"/>
          <w:b w:val="false"/>
          <w:color w:val="000000"/>
          <w:sz w:val="20"/>
        </w:rPr>
        <w:t>):</w:t>
      </w:r>
    </w:p>
    <w:tbl>
      <w:tblPr>
        <w:tblW w:w="6809" w:type="dxa"/>
        <w:jc w:val="left"/>
        <w:tblInd w:w="0" w:type="dxa"/>
        <w:tblLayout w:type="fixed"/>
        <w:tblCellMar>
          <w:top w:w="28" w:type="dxa"/>
          <w:left w:w="28" w:type="dxa"/>
          <w:bottom w:w="28" w:type="dxa"/>
          <w:right w:w="28" w:type="dxa"/>
        </w:tblCellMar>
      </w:tblPr>
      <w:tblGrid>
        <w:gridCol w:w="636"/>
        <w:gridCol w:w="559"/>
        <w:gridCol w:w="560"/>
        <w:gridCol w:w="1094"/>
        <w:gridCol w:w="1094"/>
        <w:gridCol w:w="1097"/>
        <w:gridCol w:w="518"/>
        <w:gridCol w:w="518"/>
        <w:gridCol w:w="733"/>
      </w:tblGrid>
      <w:tr>
        <w:trPr/>
        <w:tc>
          <w:tcPr>
            <w:tcW w:w="636"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r>
      <w:tr>
        <w:trPr/>
        <w:tc>
          <w:tcPr>
            <w:tcW w:w="175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92" w:before="0" w:after="160"/>
              <w:jc w:val="center"/>
              <w:rPr>
                <w:rFonts w:ascii="Times New Roman;serif" w:hAnsi="Times New Roman;serif"/>
                <w:b/>
                <w:color w:val="000000"/>
                <w:sz w:val="20"/>
              </w:rPr>
            </w:pPr>
            <w:r>
              <w:rPr>
                <w:rFonts w:ascii="Times New Roman;serif" w:hAnsi="Times New Roman;serif"/>
                <w:b/>
                <w:color w:val="000000"/>
                <w:sz w:val="20"/>
              </w:rPr>
              <w:t>Performance Level</w:t>
            </w:r>
          </w:p>
        </w:tc>
        <w:tc>
          <w:tcPr>
            <w:tcW w:w="328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92" w:before="0" w:after="160"/>
              <w:jc w:val="center"/>
              <w:rPr>
                <w:rFonts w:ascii="Times New Roman;serif" w:hAnsi="Times New Roman;serif"/>
                <w:b/>
                <w:color w:val="000000"/>
                <w:sz w:val="20"/>
              </w:rPr>
            </w:pPr>
            <w:r>
              <w:rPr>
                <w:rFonts w:ascii="Times New Roman;serif" w:hAnsi="Times New Roman;serif"/>
                <w:b/>
                <w:color w:val="000000"/>
                <w:sz w:val="20"/>
              </w:rPr>
              <w:t>Stock Price CAGR Performance Goal</w:t>
            </w:r>
          </w:p>
        </w:tc>
        <w:tc>
          <w:tcPr>
            <w:tcW w:w="176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92" w:before="0" w:after="160"/>
              <w:jc w:val="center"/>
              <w:rPr>
                <w:rFonts w:ascii="Times New Roman;serif" w:hAnsi="Times New Roman;serif"/>
                <w:b/>
                <w:color w:val="000000"/>
                <w:sz w:val="20"/>
              </w:rPr>
            </w:pPr>
            <w:r>
              <w:rPr>
                <w:rFonts w:ascii="Times New Roman;serif" w:hAnsi="Times New Roman;serif"/>
                <w:b/>
                <w:color w:val="000000"/>
                <w:sz w:val="20"/>
              </w:rPr>
              <w:t>Vesting Percentage</w:t>
            </w:r>
          </w:p>
        </w:tc>
      </w:tr>
      <w:tr>
        <w:trPr/>
        <w:tc>
          <w:tcPr>
            <w:tcW w:w="1755"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160"/>
              <w:jc w:val="center"/>
              <w:rPr/>
            </w:pPr>
            <w:r>
              <w:rPr/>
            </w:r>
          </w:p>
        </w:tc>
        <w:tc>
          <w:tcPr>
            <w:tcW w:w="3285"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160"/>
              <w:jc w:val="center"/>
              <w:rPr/>
            </w:pPr>
            <w:r>
              <w:rPr/>
            </w:r>
          </w:p>
        </w:tc>
        <w:tc>
          <w:tcPr>
            <w:tcW w:w="1769"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160"/>
              <w:jc w:val="center"/>
              <w:rPr/>
            </w:pPr>
            <w:r>
              <w:rPr/>
            </w:r>
          </w:p>
        </w:tc>
      </w:tr>
      <w:tr>
        <w:trPr/>
        <w:tc>
          <w:tcPr>
            <w:tcW w:w="175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92" w:before="0" w:after="160"/>
              <w:jc w:val="center"/>
              <w:rPr>
                <w:rFonts w:ascii="Times New Roman;serif" w:hAnsi="Times New Roman;serif"/>
                <w:b w:val="false"/>
                <w:color w:val="000000"/>
                <w:sz w:val="20"/>
              </w:rPr>
            </w:pPr>
            <w:r>
              <w:rPr>
                <w:rFonts w:ascii="Times New Roman;serif" w:hAnsi="Times New Roman;serif"/>
                <w:b w:val="false"/>
                <w:color w:val="000000"/>
                <w:sz w:val="20"/>
              </w:rPr>
              <w:t>Threshold</w:t>
            </w:r>
          </w:p>
        </w:tc>
        <w:tc>
          <w:tcPr>
            <w:tcW w:w="3285"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160"/>
              <w:jc w:val="center"/>
              <w:rPr/>
            </w:pPr>
            <w:r>
              <w:rPr/>
            </w:r>
          </w:p>
        </w:tc>
        <w:tc>
          <w:tcPr>
            <w:tcW w:w="1769"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160"/>
              <w:jc w:val="center"/>
              <w:rPr/>
            </w:pPr>
            <w:r>
              <w:rPr/>
            </w:r>
          </w:p>
        </w:tc>
      </w:tr>
      <w:tr>
        <w:trPr/>
        <w:tc>
          <w:tcPr>
            <w:tcW w:w="1755"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160"/>
              <w:jc w:val="center"/>
              <w:rPr/>
            </w:pPr>
            <w:r>
              <w:rPr/>
            </w:r>
          </w:p>
        </w:tc>
        <w:tc>
          <w:tcPr>
            <w:tcW w:w="3285"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160"/>
              <w:jc w:val="center"/>
              <w:rPr/>
            </w:pPr>
            <w:r>
              <w:rPr/>
            </w:r>
          </w:p>
        </w:tc>
        <w:tc>
          <w:tcPr>
            <w:tcW w:w="1769"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160"/>
              <w:jc w:val="center"/>
              <w:rPr/>
            </w:pPr>
            <w:r>
              <w:rPr/>
            </w:r>
          </w:p>
        </w:tc>
      </w:tr>
    </w:tbl>
    <w:p>
      <w:pPr>
        <w:pStyle w:val="TextBody"/>
        <w:bidi w:val="0"/>
        <w:spacing w:before="0" w:after="160"/>
        <w:jc w:val="both"/>
        <w:rPr/>
      </w:pPr>
      <w:r>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455295"/>
                <wp:effectExtent l="0" t="0" r="0" b="0"/>
                <wp:wrapNone/>
                <wp:docPr id="175" name="Frame173"/>
                <a:graphic xmlns:a="http://schemas.openxmlformats.org/drawingml/2006/main">
                  <a:graphicData uri="http://schemas.microsoft.com/office/word/2010/wordprocessingShape">
                    <wps:wsp>
                      <wps:cNvSpPr txBox="1"/>
                      <wps:spPr>
                        <a:xfrm>
                          <a:off x="0" y="0"/>
                          <a:ext cx="6480175" cy="455295"/>
                        </a:xfrm>
                        <a:prstGeom prst="rect"/>
                        <a:solidFill>
                          <a:srgbClr val="FFFFFF"/>
                        </a:solidFill>
                      </wps:spPr>
                      <wps:txbx>
                        <w:txbxContent>
                          <w:p>
                            <w:pPr>
                              <w:pStyle w:val="TextBody"/>
                              <w:bidi w:val="0"/>
                              <w:spacing w:lineRule="auto" w:line="292" w:before="0" w:after="16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p>
                            <w:pPr>
                              <w:pStyle w:val="TextBody"/>
                              <w:bidi w:val="0"/>
                              <w:spacing w:before="0" w:after="16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92" w:before="0" w:after="160"/>
                        <w:jc w:val="center"/>
                        <w:rPr>
                          <w:rFonts w:ascii="Times New Roman;serif" w:hAnsi="Times New Roman;serif"/>
                          <w:b w:val="false"/>
                          <w:color w:val="000000"/>
                          <w:sz w:val="20"/>
                        </w:rPr>
                      </w:pPr>
                      <w:r>
                        <w:rPr>
                          <w:rFonts w:ascii="Times New Roman;serif" w:hAnsi="Times New Roman;serif"/>
                          <w:b w:val="false"/>
                          <w:color w:val="000000"/>
                          <w:sz w:val="20"/>
                        </w:rPr>
                        <w:t>2</w:t>
                      </w:r>
                    </w:p>
                    <w:p>
                      <w:pPr>
                        <w:pStyle w:val="TextBody"/>
                        <w:bidi w:val="0"/>
                        <w:spacing w:before="0" w:after="160"/>
                        <w:jc w:val="both"/>
                        <w:rPr/>
                      </w:pPr>
                      <w:r>
                        <w:rPr/>
                      </w:r>
                    </w:p>
                  </w:txbxContent>
                </v:textbox>
                <w10:wrap type="none"/>
              </v:rect>
            </w:pict>
          </mc:Fallback>
        </mc:AlternateContent>
      </w:r>
    </w:p>
    <w:tbl>
      <w:tblPr>
        <w:tblW w:w="1345" w:type="dxa"/>
        <w:jc w:val="left"/>
        <w:tblInd w:w="0" w:type="dxa"/>
        <w:tblLayout w:type="fixed"/>
        <w:tblCellMar>
          <w:top w:w="28" w:type="dxa"/>
          <w:left w:w="28" w:type="dxa"/>
          <w:bottom w:w="28" w:type="dxa"/>
          <w:right w:w="28" w:type="dxa"/>
        </w:tblCellMar>
      </w:tblPr>
      <w:tblGrid>
        <w:gridCol w:w="234"/>
        <w:gridCol w:w="205"/>
        <w:gridCol w:w="207"/>
        <w:gridCol w:w="109"/>
        <w:gridCol w:w="109"/>
        <w:gridCol w:w="109"/>
        <w:gridCol w:w="109"/>
        <w:gridCol w:w="109"/>
        <w:gridCol w:w="154"/>
      </w:tblGrid>
      <w:tr>
        <w:trPr/>
        <w:tc>
          <w:tcPr>
            <w:tcW w:w="23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160"/>
              <w:jc w:val="center"/>
              <w:rPr/>
            </w:pPr>
            <w:r>
              <w:rPr/>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160"/>
              <w:jc w:val="center"/>
              <w:rPr/>
            </w:pPr>
            <w:r>
              <w:rPr/>
            </w:r>
          </w:p>
        </w:tc>
        <w:tc>
          <w:tcPr>
            <w:tcW w:w="372"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160"/>
              <w:jc w:val="center"/>
              <w:rPr/>
            </w:pPr>
            <w:r>
              <w:rPr/>
            </w:r>
          </w:p>
        </w:tc>
      </w:tr>
      <w:tr>
        <w:trPr/>
        <w:tc>
          <w:tcPr>
            <w:tcW w:w="646"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92" w:before="0" w:after="160"/>
              <w:jc w:val="center"/>
              <w:rPr>
                <w:rFonts w:ascii="Times New Roman;serif" w:hAnsi="Times New Roman;serif"/>
                <w:b w:val="false"/>
                <w:color w:val="000000"/>
                <w:sz w:val="20"/>
              </w:rPr>
            </w:pPr>
            <w:r>
              <w:rPr>
                <w:rFonts w:ascii="Times New Roman;serif" w:hAnsi="Times New Roman;serif"/>
                <w:b w:val="false"/>
                <w:color w:val="000000"/>
                <w:sz w:val="20"/>
              </w:rPr>
              <w:t>Target</w:t>
            </w:r>
          </w:p>
        </w:tc>
        <w:tc>
          <w:tcPr>
            <w:tcW w:w="327"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160"/>
              <w:jc w:val="center"/>
              <w:rPr/>
            </w:pPr>
            <w:r>
              <w:rPr/>
            </w:r>
          </w:p>
        </w:tc>
        <w:tc>
          <w:tcPr>
            <w:tcW w:w="372"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160"/>
              <w:jc w:val="center"/>
              <w:rPr/>
            </w:pPr>
            <w:r>
              <w:rPr/>
            </w:r>
          </w:p>
        </w:tc>
      </w:tr>
    </w:tbl>
    <w:p>
      <w:pPr>
        <w:pStyle w:val="TextBody"/>
        <w:bidi w:val="0"/>
        <w:spacing w:lineRule="auto" w:line="290" w:before="240" w:after="240"/>
        <w:ind w:left="0" w:right="0" w:hanging="360"/>
        <w:jc w:val="both"/>
        <w:rPr/>
      </w:pPr>
      <w:r>
        <w:rPr>
          <w:rFonts w:ascii="Times New Roman;serif" w:hAnsi="Times New Roman;serif"/>
          <w:b w:val="false"/>
          <w:color w:val="000000"/>
          <w:sz w:val="22"/>
        </w:rPr>
        <w:t>4.</w:t>
      </w:r>
      <w:r>
        <w:rPr>
          <w:rFonts w:ascii="Times New Roman;serif" w:hAnsi="Times New Roman;serif"/>
          <w:b w:val="false"/>
          <w:color w:val="000000"/>
          <w:sz w:val="20"/>
          <w:u w:val="single"/>
        </w:rPr>
        <w:t>Number of PSUs Vested</w:t>
      </w:r>
      <w:r>
        <w:rPr>
          <w:rFonts w:ascii="Times New Roman;serif" w:hAnsi="Times New Roman;serif"/>
          <w:b w:val="false"/>
          <w:color w:val="000000"/>
          <w:sz w:val="20"/>
        </w:rPr>
        <w:t>. Following each Vesting Date, the Committee shall determine whether and to what extent the Stock Price CAGR Performance Goal has been satisfied on such Vesting Date and shall determine the percentage (the “</w:t>
      </w:r>
      <w:r>
        <w:rPr>
          <w:rFonts w:ascii="Times New Roman;serif" w:hAnsi="Times New Roman;serif"/>
          <w:b w:val="false"/>
          <w:color w:val="000000"/>
          <w:sz w:val="20"/>
          <w:u w:val="single"/>
        </w:rPr>
        <w:t>Vesting Percentage</w:t>
      </w:r>
      <w:r>
        <w:rPr>
          <w:color w:val="000000"/>
        </w:rPr>
        <w:t>”</w:t>
      </w:r>
      <w:r>
        <w:rPr>
          <w:rFonts w:ascii="Times New Roman;serif" w:hAnsi="Times New Roman;serif"/>
          <w:b w:val="false"/>
          <w:color w:val="000000"/>
          <w:sz w:val="20"/>
        </w:rPr>
        <w:t>) of the PSUs in the applicable Vesting Tranche that shall become vested hereunder and under the Grant Notice and PSU Agreement on the basis of the following:</w:t>
      </w:r>
    </w:p>
    <w:p>
      <w:pPr>
        <w:pStyle w:val="TextBody"/>
        <w:bidi w:val="0"/>
        <w:spacing w:lineRule="auto" w:line="290" w:before="0" w:after="240"/>
        <w:ind w:left="0" w:right="0" w:hanging="360"/>
        <w:jc w:val="both"/>
        <w:rPr/>
      </w:pPr>
      <w:r>
        <w:rPr>
          <w:rFonts w:ascii="Times New Roman;serif" w:hAnsi="Times New Roman;serif"/>
          <w:b w:val="false"/>
          <w:color w:val="000000"/>
          <w:sz w:val="24"/>
        </w:rPr>
        <w:t>(a)</w:t>
      </w:r>
      <w:r>
        <w:rPr>
          <w:rFonts w:ascii="Times New Roman;serif" w:hAnsi="Times New Roman;serif"/>
          <w:b w:val="false"/>
          <w:color w:val="000000"/>
          <w:sz w:val="20"/>
          <w:u w:val="single"/>
        </w:rPr>
        <w:t>Below Threshold</w:t>
      </w:r>
      <w:r>
        <w:rPr>
          <w:rFonts w:ascii="Times New Roman;serif" w:hAnsi="Times New Roman;serif"/>
          <w:b w:val="false"/>
          <w:color w:val="000000"/>
          <w:sz w:val="20"/>
        </w:rPr>
        <w:t>. If, upon a Vesting Date, Stock Price CAGR on such Vesting Date is less than _____ (i.e., less than the Threshold level), _____ PSUs in the applicable Vesting Tranche shall be vested.</w:t>
      </w:r>
    </w:p>
    <w:p>
      <w:pPr>
        <w:pStyle w:val="TextBody"/>
        <w:bidi w:val="0"/>
        <w:spacing w:lineRule="auto" w:line="290" w:before="0" w:after="240"/>
        <w:ind w:left="0" w:right="0" w:hanging="360"/>
        <w:jc w:val="both"/>
        <w:rPr/>
      </w:pPr>
      <w:r>
        <w:rPr>
          <w:rFonts w:ascii="Times New Roman;serif" w:hAnsi="Times New Roman;serif"/>
          <w:b w:val="false"/>
          <w:color w:val="000000"/>
          <w:sz w:val="24"/>
        </w:rPr>
        <w:t>(b)</w:t>
      </w:r>
      <w:r>
        <w:rPr>
          <w:rFonts w:ascii="Times New Roman;serif" w:hAnsi="Times New Roman;serif"/>
          <w:b w:val="false"/>
          <w:color w:val="000000"/>
          <w:sz w:val="20"/>
          <w:u w:val="single"/>
        </w:rPr>
        <w:t>Threshold or Above</w:t>
      </w:r>
      <w:r>
        <w:rPr>
          <w:rFonts w:ascii="Times New Roman;serif" w:hAnsi="Times New Roman;serif"/>
          <w:b w:val="false"/>
          <w:color w:val="000000"/>
          <w:sz w:val="20"/>
        </w:rPr>
        <w:t>. If, upon a Vesting Date, Stock Price CAGR on such Vesting Date is at least _____, the Vesting Percentage applicable to the PSUs in the applicable Vesting Tranche shall be equal to the Vesting Percentage set forth opposite such Performance Goal level achieved in the Stock Price CAGR Matrix. For the avoidance of doubt, in no event will the Vesting Percentage be greater than _____%.</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92" w:before="0" w:after="160"/>
        <w:jc w:val="right"/>
        <w:rPr>
          <w:rFonts w:ascii="Times New Roman;serif" w:hAnsi="Times New Roman;serif"/>
          <w:b/>
          <w:color w:val="000000"/>
          <w:sz w:val="20"/>
        </w:rPr>
      </w:pPr>
      <w:r>
        <w:rPr>
          <w:rFonts w:ascii="Times New Roman;serif" w:hAnsi="Times New Roman;serif"/>
          <w:b/>
          <w:color w:val="000000"/>
          <w:sz w:val="20"/>
        </w:rPr>
        <w:t>EXHIBIT 10.46</w:t>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480175" cy="455295"/>
                <wp:effectExtent l="0" t="0" r="0" b="0"/>
                <wp:wrapNone/>
                <wp:docPr id="176" name="Frame174"/>
                <a:graphic xmlns:a="http://schemas.openxmlformats.org/drawingml/2006/main">
                  <a:graphicData uri="http://schemas.microsoft.com/office/word/2010/wordprocessingShape">
                    <wps:wsp>
                      <wps:cNvSpPr txBox="1"/>
                      <wps:spPr>
                        <a:xfrm>
                          <a:off x="0" y="0"/>
                          <a:ext cx="6480175" cy="455295"/>
                        </a:xfrm>
                        <a:prstGeom prst="rect"/>
                        <a:solidFill>
                          <a:srgbClr val="FFFFFF"/>
                        </a:solidFill>
                      </wps:spPr>
                      <wps:txbx>
                        <w:txbxContent>
                          <w:p>
                            <w:pPr>
                              <w:pStyle w:val="TextBody"/>
                              <w:bidi w:val="0"/>
                              <w:spacing w:lineRule="auto" w:line="292" w:before="0" w:after="160"/>
                              <w:jc w:val="center"/>
                              <w:rPr>
                                <w:rFonts w:ascii="Times New Roman;serif" w:hAnsi="Times New Roman;serif"/>
                                <w:b w:val="false"/>
                                <w:color w:val="000000"/>
                                <w:sz w:val="20"/>
                              </w:rPr>
                            </w:pPr>
                            <w:r>
                              <w:rPr>
                                <w:rFonts w:ascii="Times New Roman;serif" w:hAnsi="Times New Roman;serif"/>
                                <w:b w:val="false"/>
                                <w:color w:val="000000"/>
                                <w:sz w:val="20"/>
                              </w:rPr>
                              <w:t>3</w:t>
                            </w:r>
                          </w:p>
                          <w:p>
                            <w:pPr>
                              <w:pStyle w:val="TextBody"/>
                              <w:bidi w:val="0"/>
                              <w:spacing w:before="0" w:after="16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85pt;mso-wrap-distance-left:0pt;mso-wrap-distance-right:0pt;mso-wrap-distance-top:0pt;mso-wrap-distance-bottom:0pt;margin-top:0pt;mso-position-vertical:top;mso-position-vertical-relative:text;margin-left:-414.2pt;mso-position-horizontal:left;mso-position-horizontal-relative:text">
                <v:textbox>
                  <w:txbxContent>
                    <w:p>
                      <w:pPr>
                        <w:pStyle w:val="TextBody"/>
                        <w:bidi w:val="0"/>
                        <w:spacing w:lineRule="auto" w:line="292" w:before="0" w:after="160"/>
                        <w:jc w:val="center"/>
                        <w:rPr>
                          <w:rFonts w:ascii="Times New Roman;serif" w:hAnsi="Times New Roman;serif"/>
                          <w:b w:val="false"/>
                          <w:color w:val="000000"/>
                          <w:sz w:val="20"/>
                        </w:rPr>
                      </w:pPr>
                      <w:r>
                        <w:rPr>
                          <w:rFonts w:ascii="Times New Roman;serif" w:hAnsi="Times New Roman;serif"/>
                          <w:b w:val="false"/>
                          <w:color w:val="000000"/>
                          <w:sz w:val="20"/>
                        </w:rPr>
                        <w:t>3</w:t>
                      </w:r>
                    </w:p>
                    <w:p>
                      <w:pPr>
                        <w:pStyle w:val="TextBody"/>
                        <w:bidi w:val="0"/>
                        <w:spacing w:before="0" w:after="160"/>
                        <w:jc w:val="both"/>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SOTERA HEALTH COMPANY</w:t>
        <w:br/>
        <w:t>2020 OMNIBUS INCENTIVE PLAN</w:t>
      </w:r>
    </w:p>
    <w:p>
      <w:pPr>
        <w:pStyle w:val="TextBody"/>
        <w:bidi w:val="0"/>
        <w:spacing w:before="0" w:after="160"/>
        <w:jc w:val="both"/>
        <w:rPr/>
      </w:pPr>
      <w:r>
        <w:rPr/>
      </w:r>
    </w:p>
    <w:p>
      <w:pPr>
        <w:pStyle w:val="TextBody"/>
        <w:bidi w:val="0"/>
        <w:spacing w:lineRule="auto" w:line="288" w:before="0" w:after="240"/>
        <w:jc w:val="center"/>
        <w:rPr>
          <w:rFonts w:ascii="Times New Roman;serif" w:hAnsi="Times New Roman;serif"/>
          <w:b/>
          <w:color w:val="000000"/>
          <w:sz w:val="20"/>
          <w:u w:val="single"/>
        </w:rPr>
      </w:pPr>
      <w:r>
        <w:rPr>
          <w:rFonts w:ascii="Times New Roman;serif" w:hAnsi="Times New Roman;serif"/>
          <w:b/>
          <w:color w:val="000000"/>
          <w:sz w:val="20"/>
          <w:u w:val="single"/>
        </w:rPr>
        <w:t>PERFORMANCE SHARE UNIT GRANT NOTICE</w:t>
      </w:r>
    </w:p>
    <w:p>
      <w:pPr>
        <w:pStyle w:val="TextBody"/>
        <w:bidi w:val="0"/>
        <w:spacing w:lineRule="auto" w:line="288" w:before="0" w:after="240"/>
        <w:ind w:left="0" w:right="0" w:firstLine="720"/>
        <w:jc w:val="both"/>
        <w:rPr/>
      </w:pPr>
      <w:r>
        <w:rPr>
          <w:rFonts w:ascii="Times New Roman;serif" w:hAnsi="Times New Roman;serif"/>
          <w:b w:val="false"/>
          <w:color w:val="000000"/>
          <w:sz w:val="20"/>
        </w:rPr>
        <w:t>Sotera Health Company, a Delaware corporation (the “</w:t>
      </w:r>
      <w:r>
        <w:rPr>
          <w:rFonts w:ascii="Times New Roman;serif" w:hAnsi="Times New Roman;serif"/>
          <w:b w:val="false"/>
          <w:color w:val="000000"/>
          <w:sz w:val="20"/>
          <w:u w:val="single"/>
        </w:rPr>
        <w:t>Company</w:t>
      </w:r>
      <w:r>
        <w:rPr>
          <w:color w:val="000000"/>
        </w:rPr>
        <w:t>”</w:t>
      </w:r>
      <w:r>
        <w:rPr>
          <w:rFonts w:ascii="Times New Roman;serif" w:hAnsi="Times New Roman;serif"/>
          <w:b w:val="false"/>
          <w:color w:val="000000"/>
          <w:sz w:val="20"/>
        </w:rPr>
        <w:t>), pursuant to the Sotera Health Company 2020 Omnibus Incentive Plan and any applicable sub-plan for a particular country, as applicable (together, the “</w:t>
      </w:r>
      <w:r>
        <w:rPr>
          <w:rFonts w:ascii="Times New Roman;serif" w:hAnsi="Times New Roman;serif"/>
          <w:b w:val="false"/>
          <w:color w:val="000000"/>
          <w:sz w:val="20"/>
          <w:u w:val="single"/>
        </w:rPr>
        <w:t>Plan</w:t>
      </w:r>
      <w:r>
        <w:rPr>
          <w:color w:val="000000"/>
        </w:rPr>
        <w:t>”</w:t>
      </w:r>
      <w:r>
        <w:rPr>
          <w:rFonts w:ascii="Times New Roman;serif" w:hAnsi="Times New Roman;serif"/>
          <w:b w:val="false"/>
          <w:color w:val="000000"/>
          <w:sz w:val="20"/>
        </w:rPr>
        <w:t>), has granted to the participant set forth below (the “</w:t>
      </w:r>
      <w:r>
        <w:rPr>
          <w:rFonts w:ascii="Times New Roman;serif" w:hAnsi="Times New Roman;serif"/>
          <w:b w:val="false"/>
          <w:color w:val="000000"/>
          <w:sz w:val="20"/>
          <w:u w:val="single"/>
        </w:rPr>
        <w:t>Participant</w:t>
      </w:r>
      <w:r>
        <w:rPr>
          <w:color w:val="000000"/>
        </w:rPr>
        <w:t>”</w:t>
      </w:r>
      <w:r>
        <w:rPr>
          <w:rFonts w:ascii="Times New Roman;serif" w:hAnsi="Times New Roman;serif"/>
          <w:b w:val="false"/>
          <w:color w:val="000000"/>
          <w:sz w:val="20"/>
        </w:rPr>
        <w:t>), as of the date set forth below (the “</w:t>
      </w:r>
      <w:r>
        <w:rPr>
          <w:rFonts w:ascii="Times New Roman;serif" w:hAnsi="Times New Roman;serif"/>
          <w:b w:val="false"/>
          <w:color w:val="000000"/>
          <w:sz w:val="20"/>
          <w:u w:val="single"/>
        </w:rPr>
        <w:t>Date of Grant</w:t>
      </w:r>
      <w:r>
        <w:rPr>
          <w:color w:val="000000"/>
        </w:rPr>
        <w:t>”</w:t>
      </w:r>
      <w:r>
        <w:rPr>
          <w:rFonts w:ascii="Times New Roman;serif" w:hAnsi="Times New Roman;serif"/>
          <w:b w:val="false"/>
          <w:color w:val="000000"/>
          <w:sz w:val="20"/>
        </w:rPr>
        <w:t>), a performance-based Restricted Stock Unit award (also referred to as a “Performance Share Unit” award) covering the number of units set forth below, each of which represents one Share of the Company’s Common Stock (the “</w:t>
      </w:r>
      <w:r>
        <w:rPr>
          <w:rFonts w:ascii="Times New Roman;serif" w:hAnsi="Times New Roman;serif"/>
          <w:b w:val="false"/>
          <w:color w:val="000000"/>
          <w:sz w:val="20"/>
          <w:u w:val="single"/>
        </w:rPr>
        <w:t>PSUs</w:t>
      </w:r>
      <w:r>
        <w:rPr>
          <w:color w:val="000000"/>
        </w:rPr>
        <w:t>”</w:t>
      </w:r>
      <w:r>
        <w:rPr>
          <w:rFonts w:ascii="Times New Roman;serif" w:hAnsi="Times New Roman;serif"/>
          <w:b w:val="false"/>
          <w:color w:val="000000"/>
          <w:sz w:val="20"/>
        </w:rPr>
        <w:t>). The PSUs are subject to all of the terms and conditions set forth in this Performance Share Unit Grant Notice (the “</w:t>
      </w:r>
      <w:r>
        <w:rPr>
          <w:rFonts w:ascii="Times New Roman;serif" w:hAnsi="Times New Roman;serif"/>
          <w:b w:val="false"/>
          <w:color w:val="000000"/>
          <w:sz w:val="20"/>
          <w:u w:val="single"/>
        </w:rPr>
        <w:t>Grant Notice</w:t>
      </w:r>
      <w:r>
        <w:rPr>
          <w:color w:val="000000"/>
        </w:rPr>
        <w:t>”</w:t>
      </w:r>
      <w:r>
        <w:rPr>
          <w:rFonts w:ascii="Times New Roman;serif" w:hAnsi="Times New Roman;serif"/>
          <w:b w:val="false"/>
          <w:color w:val="000000"/>
          <w:sz w:val="20"/>
        </w:rPr>
        <w:t>), the Performance Share Unit Agreement (the “</w:t>
      </w:r>
      <w:r>
        <w:rPr>
          <w:rFonts w:ascii="Times New Roman;serif" w:hAnsi="Times New Roman;serif"/>
          <w:b w:val="false"/>
          <w:color w:val="000000"/>
          <w:sz w:val="20"/>
          <w:u w:val="single"/>
        </w:rPr>
        <w:t>PSU Agreement</w:t>
      </w:r>
      <w:r>
        <w:rPr>
          <w:color w:val="000000"/>
        </w:rPr>
        <w:t>”</w:t>
      </w:r>
      <w:r>
        <w:rPr>
          <w:rFonts w:ascii="Times New Roman;serif" w:hAnsi="Times New Roman;serif"/>
          <w:b w:val="false"/>
          <w:color w:val="000000"/>
          <w:sz w:val="20"/>
        </w:rPr>
        <w:t>), the Performance Memorandum (the “</w:t>
      </w:r>
      <w:r>
        <w:rPr>
          <w:rFonts w:ascii="Times New Roman;serif" w:hAnsi="Times New Roman;serif"/>
          <w:b w:val="false"/>
          <w:color w:val="000000"/>
          <w:sz w:val="20"/>
          <w:u w:val="single"/>
        </w:rPr>
        <w:t>Performance Memo</w:t>
      </w:r>
      <w:r>
        <w:rPr>
          <w:color w:val="000000"/>
        </w:rPr>
        <w:t>”</w:t>
      </w:r>
      <w:r>
        <w:rPr>
          <w:rFonts w:ascii="Times New Roman;serif" w:hAnsi="Times New Roman;serif"/>
          <w:b w:val="false"/>
          <w:color w:val="000000"/>
          <w:sz w:val="20"/>
        </w:rPr>
        <w:t>) and the Plan, each of which are being provided to you with this Grant Notice and incorporated herein in their entirety. Capitalized terms not explicitly defined in this Grant Notice but defined in the Plan, the PSU Agreement, or the Performance Memo will have the same definitions as in the Plan, the PSU Agreement, or the Performance Memo. In the event of any conflict between the terms of the Grant Notice and the Plan, the terms of the Plan will control.</w:t>
      </w:r>
    </w:p>
    <w:tbl>
      <w:tblPr>
        <w:tblW w:w="10205" w:type="dxa"/>
        <w:jc w:val="left"/>
        <w:tblInd w:w="0" w:type="dxa"/>
        <w:tblLayout w:type="fixed"/>
        <w:tblCellMar>
          <w:top w:w="28" w:type="dxa"/>
          <w:left w:w="28" w:type="dxa"/>
          <w:bottom w:w="28" w:type="dxa"/>
          <w:right w:w="28" w:type="dxa"/>
        </w:tblCellMar>
      </w:tblPr>
      <w:tblGrid>
        <w:gridCol w:w="680"/>
        <w:gridCol w:w="598"/>
        <w:gridCol w:w="603"/>
        <w:gridCol w:w="2437"/>
        <w:gridCol w:w="2437"/>
        <w:gridCol w:w="3450"/>
      </w:tblGrid>
      <w:tr>
        <w:trPr/>
        <w:tc>
          <w:tcPr>
            <w:tcW w:w="680"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2437" w:type="dxa"/>
            <w:tcBorders/>
            <w:vAlign w:val="center"/>
          </w:tcPr>
          <w:p>
            <w:pPr>
              <w:pStyle w:val="TableContents"/>
              <w:bidi w:val="0"/>
              <w:spacing w:before="0" w:after="283"/>
              <w:jc w:val="left"/>
              <w:rPr>
                <w:sz w:val="4"/>
                <w:szCs w:val="4"/>
              </w:rPr>
            </w:pPr>
            <w:r>
              <w:rPr>
                <w:sz w:val="4"/>
                <w:szCs w:val="4"/>
              </w:rPr>
            </w:r>
          </w:p>
        </w:tc>
        <w:tc>
          <w:tcPr>
            <w:tcW w:w="2437" w:type="dxa"/>
            <w:tcBorders/>
            <w:vAlign w:val="center"/>
          </w:tcPr>
          <w:p>
            <w:pPr>
              <w:pStyle w:val="TableContents"/>
              <w:bidi w:val="0"/>
              <w:spacing w:before="0" w:after="283"/>
              <w:jc w:val="left"/>
              <w:rPr>
                <w:sz w:val="4"/>
                <w:szCs w:val="4"/>
              </w:rPr>
            </w:pPr>
            <w:r>
              <w:rPr>
                <w:sz w:val="4"/>
                <w:szCs w:val="4"/>
              </w:rPr>
            </w:r>
          </w:p>
        </w:tc>
        <w:tc>
          <w:tcPr>
            <w:tcW w:w="3450" w:type="dxa"/>
            <w:tcBorders/>
            <w:vAlign w:val="center"/>
          </w:tcPr>
          <w:p>
            <w:pPr>
              <w:pStyle w:val="TableContents"/>
              <w:bidi w:val="0"/>
              <w:spacing w:before="0" w:after="283"/>
              <w:jc w:val="left"/>
              <w:rPr>
                <w:sz w:val="4"/>
                <w:szCs w:val="4"/>
              </w:rPr>
            </w:pPr>
            <w:r>
              <w:rPr>
                <w:sz w:val="4"/>
                <w:szCs w:val="4"/>
              </w:rPr>
            </w:r>
          </w:p>
        </w:tc>
      </w:tr>
      <w:tr>
        <w:trPr/>
        <w:tc>
          <w:tcPr>
            <w:tcW w:w="1881" w:type="dxa"/>
            <w:gridSpan w:val="3"/>
            <w:tcBorders/>
            <w:tcMar>
              <w:top w:w="0" w:type="dxa"/>
              <w:left w:w="0" w:type="dxa"/>
              <w:bottom w:w="0" w:type="dxa"/>
              <w:right w:w="0" w:type="dxa"/>
            </w:tcMar>
            <w:vAlign w:val="center"/>
          </w:tcPr>
          <w:p>
            <w:pPr>
              <w:pStyle w:val="TableContents"/>
              <w:bidi w:val="0"/>
              <w:spacing w:lineRule="auto" w:line="290" w:before="0" w:after="240"/>
              <w:jc w:val="both"/>
              <w:rPr/>
            </w:pPr>
            <w:r>
              <w:rPr>
                <w:rFonts w:ascii="Times New Roman;serif" w:hAnsi="Times New Roman;serif"/>
                <w:b/>
                <w:color w:val="000000"/>
                <w:sz w:val="22"/>
              </w:rPr>
              <w:t>1.</w:t>
            </w:r>
            <w:r>
              <w:rPr>
                <w:rFonts w:ascii="Times New Roman;serif" w:hAnsi="Times New Roman;serif"/>
                <w:b/>
                <w:color w:val="000000"/>
                <w:sz w:val="20"/>
              </w:rPr>
              <w:t>Participant:</w:t>
            </w:r>
          </w:p>
        </w:tc>
        <w:tc>
          <w:tcPr>
            <w:tcW w:w="8324" w:type="dxa"/>
            <w:gridSpan w:val="3"/>
            <w:tcBorders/>
            <w:tcMar>
              <w:top w:w="0" w:type="dxa"/>
              <w:left w:w="0" w:type="dxa"/>
              <w:bottom w:w="0" w:type="dxa"/>
              <w:right w:w="0" w:type="dxa"/>
            </w:tcMar>
            <w:vAlign w:val="center"/>
          </w:tcPr>
          <w:p>
            <w:pPr>
              <w:pStyle w:val="TableContents"/>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__________ </w:t>
            </w:r>
          </w:p>
        </w:tc>
      </w:tr>
      <w:tr>
        <w:trPr/>
        <w:tc>
          <w:tcPr>
            <w:tcW w:w="1881" w:type="dxa"/>
            <w:gridSpan w:val="3"/>
            <w:tcBorders/>
            <w:tcMar>
              <w:top w:w="0" w:type="dxa"/>
              <w:left w:w="0" w:type="dxa"/>
              <w:bottom w:w="0" w:type="dxa"/>
              <w:right w:w="0" w:type="dxa"/>
            </w:tcMar>
            <w:vAlign w:val="center"/>
          </w:tcPr>
          <w:p>
            <w:pPr>
              <w:pStyle w:val="TableContents"/>
              <w:bidi w:val="0"/>
              <w:spacing w:lineRule="auto" w:line="290" w:before="0" w:after="240"/>
              <w:jc w:val="both"/>
              <w:rPr/>
            </w:pPr>
            <w:r>
              <w:rPr>
                <w:rFonts w:ascii="Times New Roman;serif" w:hAnsi="Times New Roman;serif"/>
                <w:b/>
                <w:color w:val="000000"/>
                <w:sz w:val="22"/>
              </w:rPr>
              <w:t>2.</w:t>
            </w:r>
            <w:r>
              <w:rPr>
                <w:rFonts w:ascii="Times New Roman;serif" w:hAnsi="Times New Roman;serif"/>
                <w:b/>
                <w:color w:val="000000"/>
                <w:sz w:val="20"/>
              </w:rPr>
              <w:t>Date of Grant:</w:t>
            </w:r>
          </w:p>
        </w:tc>
        <w:tc>
          <w:tcPr>
            <w:tcW w:w="8324" w:type="dxa"/>
            <w:gridSpan w:val="3"/>
            <w:tcBorders/>
            <w:tcMar>
              <w:top w:w="0" w:type="dxa"/>
              <w:left w:w="0" w:type="dxa"/>
              <w:bottom w:w="0" w:type="dxa"/>
              <w:right w:w="0" w:type="dxa"/>
            </w:tcMar>
            <w:vAlign w:val="center"/>
          </w:tcPr>
          <w:p>
            <w:pPr>
              <w:pStyle w:val="TableContents"/>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__________</w:t>
            </w:r>
          </w:p>
        </w:tc>
      </w:tr>
      <w:tr>
        <w:trPr/>
        <w:tc>
          <w:tcPr>
            <w:tcW w:w="1881" w:type="dxa"/>
            <w:gridSpan w:val="3"/>
            <w:tcBorders/>
            <w:tcMar>
              <w:top w:w="0" w:type="dxa"/>
              <w:left w:w="0" w:type="dxa"/>
              <w:bottom w:w="0" w:type="dxa"/>
              <w:right w:w="0" w:type="dxa"/>
            </w:tcMar>
            <w:vAlign w:val="center"/>
          </w:tcPr>
          <w:p>
            <w:pPr>
              <w:pStyle w:val="TableContents"/>
              <w:bidi w:val="0"/>
              <w:spacing w:lineRule="auto" w:line="290" w:before="0" w:after="0"/>
              <w:jc w:val="both"/>
              <w:rPr/>
            </w:pPr>
            <w:r>
              <w:rPr>
                <w:rFonts w:ascii="Times New Roman;serif" w:hAnsi="Times New Roman;serif"/>
                <w:b/>
                <w:color w:val="000000"/>
                <w:sz w:val="22"/>
              </w:rPr>
              <w:t>3.</w:t>
            </w:r>
            <w:r>
              <w:rPr>
                <w:rFonts w:ascii="Times New Roman;serif" w:hAnsi="Times New Roman;serif"/>
                <w:b/>
                <w:color w:val="000000"/>
                <w:sz w:val="20"/>
              </w:rPr>
              <w:t xml:space="preserve">Performance Period: </w:t>
            </w:r>
          </w:p>
          <w:p>
            <w:pPr>
              <w:pStyle w:val="TableContents"/>
              <w:bidi w:val="0"/>
              <w:spacing w:lineRule="auto" w:line="288" w:before="0" w:after="0"/>
              <w:ind w:left="0" w:right="0" w:firstLine="360"/>
              <w:jc w:val="both"/>
              <w:rPr/>
            </w:pPr>
            <w:r>
              <w:rPr>
                <w:rFonts w:ascii="sans-serif" w:hAnsi="sans-serif"/>
                <w:b/>
                <w:color w:val="000000"/>
                <w:sz w:val="22"/>
              </w:rPr>
              <w:t>4.</w:t>
            </w:r>
            <w:r>
              <w:rPr>
                <w:rFonts w:ascii="Times New Roman;serif" w:hAnsi="Times New Roman;serif"/>
                <w:b/>
                <w:color w:val="000000"/>
                <w:sz w:val="20"/>
              </w:rPr>
              <w:t>(the “</w:t>
            </w:r>
            <w:r>
              <w:rPr>
                <w:rFonts w:ascii="Times New Roman;serif" w:hAnsi="Times New Roman;serif"/>
                <w:b/>
                <w:color w:val="000000"/>
                <w:sz w:val="20"/>
                <w:u w:val="single"/>
              </w:rPr>
              <w:t>Performance Period</w:t>
            </w:r>
            <w:r>
              <w:rPr>
                <w:color w:val="000000"/>
              </w:rPr>
              <w:t>”</w:t>
            </w:r>
            <w:r>
              <w:rPr>
                <w:rFonts w:ascii="Times New Roman;serif" w:hAnsi="Times New Roman;serif"/>
                <w:b/>
                <w:color w:val="000000"/>
                <w:sz w:val="20"/>
              </w:rPr>
              <w:t>)</w:t>
            </w:r>
          </w:p>
        </w:tc>
        <w:tc>
          <w:tcPr>
            <w:tcW w:w="8324"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__________ through __________</w:t>
            </w:r>
          </w:p>
        </w:tc>
      </w:tr>
      <w:tr>
        <w:trPr/>
        <w:tc>
          <w:tcPr>
            <w:tcW w:w="1881" w:type="dxa"/>
            <w:gridSpan w:val="3"/>
            <w:tcBorders/>
            <w:tcMar>
              <w:top w:w="0" w:type="dxa"/>
              <w:left w:w="0" w:type="dxa"/>
              <w:bottom w:w="0" w:type="dxa"/>
              <w:right w:w="0" w:type="dxa"/>
            </w:tcMar>
            <w:vAlign w:val="center"/>
          </w:tcPr>
          <w:p>
            <w:pPr>
              <w:pStyle w:val="TableContents"/>
              <w:bidi w:val="0"/>
              <w:spacing w:lineRule="auto" w:line="288" w:before="0" w:after="0"/>
              <w:ind w:left="0" w:right="0" w:firstLine="360"/>
              <w:jc w:val="both"/>
              <w:rPr>
                <w:rFonts w:ascii="sans-serif" w:hAnsi="sans-serif"/>
                <w:b/>
                <w:color w:val="000000"/>
                <w:sz w:val="20"/>
              </w:rPr>
            </w:pPr>
            <w:r>
              <w:rPr>
                <w:rFonts w:ascii="sans-serif" w:hAnsi="sans-serif"/>
                <w:b/>
                <w:color w:val="000000"/>
                <w:sz w:val="20"/>
              </w:rPr>
              <w:t>1.</w:t>
            </w:r>
          </w:p>
          <w:p>
            <w:pPr>
              <w:pStyle w:val="TableContents"/>
              <w:bidi w:val="0"/>
              <w:spacing w:lineRule="auto" w:line="290" w:before="0" w:after="240"/>
              <w:jc w:val="both"/>
              <w:rPr/>
            </w:pPr>
            <w:r>
              <w:rPr>
                <w:rFonts w:ascii="Times New Roman;serif" w:hAnsi="Times New Roman;serif"/>
                <w:b/>
                <w:color w:val="000000"/>
                <w:sz w:val="22"/>
              </w:rPr>
              <w:t>4.</w:t>
            </w:r>
            <w:r>
              <w:rPr>
                <w:rFonts w:ascii="Times New Roman;serif" w:hAnsi="Times New Roman;serif"/>
                <w:b/>
                <w:color w:val="000000"/>
                <w:sz w:val="20"/>
              </w:rPr>
              <w:t>Number of PSUs (“</w:t>
            </w:r>
            <w:r>
              <w:rPr>
                <w:rFonts w:ascii="Times New Roman;serif" w:hAnsi="Times New Roman;serif"/>
                <w:b/>
                <w:color w:val="000000"/>
                <w:sz w:val="20"/>
                <w:u w:val="single"/>
              </w:rPr>
              <w:t>Target</w:t>
            </w:r>
            <w:r>
              <w:rPr>
                <w:color w:val="000000"/>
              </w:rPr>
              <w:t>”</w:t>
            </w:r>
            <w:r>
              <w:rPr>
                <w:rFonts w:ascii="Times New Roman;serif" w:hAnsi="Times New Roman;serif"/>
                <w:b/>
                <w:color w:val="000000"/>
                <w:sz w:val="20"/>
              </w:rPr>
              <w:t>):</w:t>
            </w:r>
          </w:p>
        </w:tc>
        <w:tc>
          <w:tcPr>
            <w:tcW w:w="8324" w:type="dxa"/>
            <w:gridSpan w:val="3"/>
            <w:tcBorders/>
            <w:tcMar>
              <w:top w:w="0" w:type="dxa"/>
              <w:left w:w="0" w:type="dxa"/>
              <w:bottom w:w="0" w:type="dxa"/>
              <w:right w:w="0" w:type="dxa"/>
            </w:tcMar>
            <w:vAlign w:val="center"/>
          </w:tcPr>
          <w:p>
            <w:pPr>
              <w:pStyle w:val="TableContents"/>
              <w:bidi w:val="0"/>
              <w:spacing w:before="0" w:after="0"/>
              <w:jc w:val="both"/>
              <w:rPr/>
            </w:pPr>
            <w:r>
              <w:rPr/>
            </w:r>
          </w:p>
          <w:p>
            <w:pPr>
              <w:pStyle w:val="TableContents"/>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__________</w:t>
            </w:r>
          </w:p>
        </w:tc>
      </w:tr>
      <w:tr>
        <w:trPr/>
        <w:tc>
          <w:tcPr>
            <w:tcW w:w="1881" w:type="dxa"/>
            <w:gridSpan w:val="3"/>
            <w:tcBorders/>
            <w:tcMar>
              <w:top w:w="0" w:type="dxa"/>
              <w:left w:w="0" w:type="dxa"/>
              <w:bottom w:w="0" w:type="dxa"/>
              <w:right w:w="0" w:type="dxa"/>
            </w:tcMar>
            <w:vAlign w:val="center"/>
          </w:tcPr>
          <w:p>
            <w:pPr>
              <w:pStyle w:val="TableContents"/>
              <w:bidi w:val="0"/>
              <w:spacing w:lineRule="auto" w:line="290" w:before="0" w:after="240"/>
              <w:jc w:val="both"/>
              <w:rPr/>
            </w:pPr>
            <w:r>
              <w:rPr>
                <w:rFonts w:ascii="Times New Roman;serif" w:hAnsi="Times New Roman;serif"/>
                <w:b/>
                <w:color w:val="000000"/>
                <w:sz w:val="22"/>
              </w:rPr>
              <w:t>5.</w:t>
            </w:r>
            <w:r>
              <w:rPr>
                <w:rFonts w:ascii="Times New Roman;serif" w:hAnsi="Times New Roman;serif"/>
                <w:b/>
                <w:color w:val="000000"/>
                <w:sz w:val="20"/>
              </w:rPr>
              <w:t>Normal Vesting:</w:t>
            </w:r>
          </w:p>
        </w:tc>
        <w:tc>
          <w:tcPr>
            <w:tcW w:w="8324" w:type="dxa"/>
            <w:gridSpan w:val="3"/>
            <w:tcBorders/>
            <w:tcMar>
              <w:top w:w="0" w:type="dxa"/>
              <w:left w:w="0" w:type="dxa"/>
              <w:bottom w:w="0" w:type="dxa"/>
              <w:right w:w="0" w:type="dxa"/>
            </w:tcMar>
            <w:vAlign w:val="center"/>
          </w:tcPr>
          <w:p>
            <w:pPr>
              <w:pStyle w:val="TableContents"/>
              <w:bidi w:val="0"/>
              <w:spacing w:lineRule="auto" w:line="288" w:before="0" w:after="240"/>
              <w:jc w:val="both"/>
              <w:rPr/>
            </w:pPr>
            <w:r>
              <w:rPr>
                <w:rFonts w:ascii="Times New Roman;serif" w:hAnsi="Times New Roman;serif"/>
                <w:b w:val="false"/>
                <w:color w:val="000000"/>
                <w:sz w:val="20"/>
              </w:rPr>
              <w:t>Except as otherwise designated in this Grant Notice, the PSUs will vest at the end of the Performance Period equal to the number of PSUs earned on the basis of the relative achievement of the applicable performance goals (the “</w:t>
            </w:r>
            <w:r>
              <w:rPr>
                <w:rFonts w:ascii="Times New Roman;serif" w:hAnsi="Times New Roman;serif"/>
                <w:b w:val="false"/>
                <w:color w:val="000000"/>
                <w:sz w:val="20"/>
                <w:u w:val="single"/>
              </w:rPr>
              <w:t>Performance Goals</w:t>
            </w:r>
            <w:r>
              <w:rPr>
                <w:color w:val="000000"/>
              </w:rPr>
              <w:t>”</w:t>
            </w:r>
            <w:r>
              <w:rPr>
                <w:rFonts w:ascii="Times New Roman;serif" w:hAnsi="Times New Roman;serif"/>
                <w:b w:val="false"/>
                <w:color w:val="000000"/>
                <w:sz w:val="20"/>
              </w:rPr>
              <w:t xml:space="preserve">) as set forth in the Performance Memo and approved by the Committee for the PSUs for the Performance Period if the Participant’s Continuous Service Status continues through the last day of the Performance Period. Any PSUs that have not vested as provided herein at the end of the Performance Period will be forfeited automatically and without further notice after the end of the Performance Period. </w:t>
            </w:r>
          </w:p>
        </w:tc>
      </w:tr>
      <w:tr>
        <w:trPr/>
        <w:tc>
          <w:tcPr>
            <w:tcW w:w="1881" w:type="dxa"/>
            <w:gridSpan w:val="3"/>
            <w:tcBorders/>
            <w:tcMar>
              <w:top w:w="0" w:type="dxa"/>
              <w:left w:w="0" w:type="dxa"/>
              <w:bottom w:w="0" w:type="dxa"/>
              <w:right w:w="0" w:type="dxa"/>
            </w:tcMar>
            <w:vAlign w:val="center"/>
          </w:tcPr>
          <w:p>
            <w:pPr>
              <w:pStyle w:val="TableContents"/>
              <w:bidi w:val="0"/>
              <w:spacing w:lineRule="auto" w:line="290" w:before="0" w:after="240"/>
              <w:jc w:val="both"/>
              <w:rPr/>
            </w:pPr>
            <w:r>
              <w:rPr>
                <w:rFonts w:ascii="Times New Roman;serif" w:hAnsi="Times New Roman;serif"/>
                <w:b/>
                <w:color w:val="000000"/>
                <w:sz w:val="22"/>
              </w:rPr>
              <w:t>6.</w:t>
            </w:r>
            <w:r>
              <w:rPr>
                <w:rFonts w:ascii="Times New Roman;serif" w:hAnsi="Times New Roman;serif"/>
                <w:b/>
                <w:color w:val="000000"/>
                <w:sz w:val="20"/>
              </w:rPr>
              <w:t>Termination of Continuous Service Status:</w:t>
            </w:r>
          </w:p>
        </w:tc>
        <w:tc>
          <w:tcPr>
            <w:tcW w:w="8324" w:type="dxa"/>
            <w:gridSpan w:val="3"/>
            <w:tcBorders/>
            <w:tcMar>
              <w:top w:w="0" w:type="dxa"/>
              <w:left w:w="0" w:type="dxa"/>
              <w:bottom w:w="0" w:type="dxa"/>
              <w:right w:w="0" w:type="dxa"/>
            </w:tcMar>
            <w:vAlign w:val="center"/>
          </w:tcPr>
          <w:p>
            <w:pPr>
              <w:pStyle w:val="TableContents"/>
              <w:bidi w:val="0"/>
              <w:spacing w:lineRule="auto" w:line="288" w:before="0" w:after="240"/>
              <w:jc w:val="both"/>
              <w:rPr/>
            </w:pPr>
            <w:r>
              <w:rPr>
                <w:rFonts w:ascii="Times New Roman;serif" w:hAnsi="Times New Roman;serif"/>
                <w:b w:val="false"/>
                <w:color w:val="000000"/>
                <w:sz w:val="20"/>
              </w:rPr>
              <w:t>In the event that the Participant’s Continuous Service Status is terminated for any reason,</w:t>
            </w:r>
            <w:r>
              <w:rPr>
                <w:color w:val="000000"/>
              </w:rPr>
              <w:t xml:space="preserve"> </w:t>
            </w:r>
            <w:r>
              <w:rPr>
                <w:rFonts w:ascii="Times New Roman;serif" w:hAnsi="Times New Roman;serif"/>
                <w:b w:val="false"/>
                <w:color w:val="000000"/>
                <w:sz w:val="20"/>
              </w:rPr>
              <w:t>other than as provided in Sections 7 and 8 of this Grant Notice, on or prior to the last day of the Performance Period, the PSUs shall be forfeited automatically for no consideration.</w:t>
            </w:r>
          </w:p>
        </w:tc>
      </w:tr>
    </w:tbl>
    <w:p>
      <w:pPr>
        <w:pStyle w:val="TextBody"/>
        <w:bidi w:val="0"/>
        <w:spacing w:before="0" w:after="0"/>
        <w:ind w:left="0" w:right="0" w:firstLine="720"/>
        <w:jc w:val="right"/>
        <w:rPr/>
      </w:pPr>
      <w:r>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480175" cy="175260"/>
                <wp:effectExtent l="0" t="0" r="0" b="0"/>
                <wp:wrapNone/>
                <wp:docPr id="177" name="Frame1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160"/>
                        <w:jc w:val="both"/>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486"/>
        <w:gridCol w:w="428"/>
        <w:gridCol w:w="430"/>
        <w:gridCol w:w="2595"/>
        <w:gridCol w:w="2595"/>
        <w:gridCol w:w="3671"/>
      </w:tblGrid>
      <w:tr>
        <w:trPr/>
        <w:tc>
          <w:tcPr>
            <w:tcW w:w="486"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2595" w:type="dxa"/>
            <w:tcBorders/>
            <w:vAlign w:val="center"/>
          </w:tcPr>
          <w:p>
            <w:pPr>
              <w:pStyle w:val="TableContents"/>
              <w:bidi w:val="0"/>
              <w:spacing w:before="0" w:after="283"/>
              <w:jc w:val="left"/>
              <w:rPr>
                <w:sz w:val="4"/>
                <w:szCs w:val="4"/>
              </w:rPr>
            </w:pPr>
            <w:r>
              <w:rPr>
                <w:sz w:val="4"/>
                <w:szCs w:val="4"/>
              </w:rPr>
            </w:r>
          </w:p>
        </w:tc>
        <w:tc>
          <w:tcPr>
            <w:tcW w:w="2595" w:type="dxa"/>
            <w:tcBorders/>
            <w:vAlign w:val="center"/>
          </w:tcPr>
          <w:p>
            <w:pPr>
              <w:pStyle w:val="TableContents"/>
              <w:bidi w:val="0"/>
              <w:spacing w:before="0" w:after="283"/>
              <w:jc w:val="left"/>
              <w:rPr>
                <w:sz w:val="4"/>
                <w:szCs w:val="4"/>
              </w:rPr>
            </w:pPr>
            <w:r>
              <w:rPr>
                <w:sz w:val="4"/>
                <w:szCs w:val="4"/>
              </w:rPr>
            </w:r>
          </w:p>
        </w:tc>
        <w:tc>
          <w:tcPr>
            <w:tcW w:w="3671" w:type="dxa"/>
            <w:tcBorders/>
            <w:vAlign w:val="center"/>
          </w:tcPr>
          <w:p>
            <w:pPr>
              <w:pStyle w:val="TableContents"/>
              <w:bidi w:val="0"/>
              <w:spacing w:before="0" w:after="283"/>
              <w:jc w:val="left"/>
              <w:rPr>
                <w:sz w:val="4"/>
                <w:szCs w:val="4"/>
              </w:rPr>
            </w:pPr>
            <w:r>
              <w:rPr>
                <w:sz w:val="4"/>
                <w:szCs w:val="4"/>
              </w:rPr>
            </w:r>
          </w:p>
        </w:tc>
      </w:tr>
      <w:tr>
        <w:trPr/>
        <w:tc>
          <w:tcPr>
            <w:tcW w:w="1344" w:type="dxa"/>
            <w:gridSpan w:val="3"/>
            <w:tcBorders/>
            <w:tcMar>
              <w:top w:w="0" w:type="dxa"/>
              <w:left w:w="0" w:type="dxa"/>
              <w:bottom w:w="0" w:type="dxa"/>
              <w:right w:w="0" w:type="dxa"/>
            </w:tcMar>
            <w:vAlign w:val="center"/>
          </w:tcPr>
          <w:p>
            <w:pPr>
              <w:pStyle w:val="TableContents"/>
              <w:bidi w:val="0"/>
              <w:spacing w:lineRule="auto" w:line="290" w:before="0" w:after="240"/>
              <w:jc w:val="both"/>
              <w:rPr/>
            </w:pPr>
            <w:r>
              <w:rPr>
                <w:rFonts w:ascii="Times New Roman;serif" w:hAnsi="Times New Roman;serif"/>
                <w:b/>
                <w:color w:val="000000"/>
                <w:sz w:val="22"/>
              </w:rPr>
              <w:t>7.</w:t>
            </w:r>
            <w:r>
              <w:rPr>
                <w:rFonts w:ascii="Times New Roman;serif" w:hAnsi="Times New Roman;serif"/>
                <w:b/>
                <w:color w:val="000000"/>
                <w:sz w:val="20"/>
              </w:rPr>
              <w:t>Alternative Vesting Schedule</w:t>
            </w:r>
          </w:p>
        </w:tc>
        <w:tc>
          <w:tcPr>
            <w:tcW w:w="8861" w:type="dxa"/>
            <w:gridSpan w:val="3"/>
            <w:tcBorders/>
            <w:tcMar>
              <w:top w:w="0" w:type="dxa"/>
              <w:left w:w="0" w:type="dxa"/>
              <w:bottom w:w="0" w:type="dxa"/>
              <w:right w:w="0" w:type="dxa"/>
            </w:tcMar>
            <w:vAlign w:val="center"/>
          </w:tcPr>
          <w:p>
            <w:pPr>
              <w:pStyle w:val="TableContents"/>
              <w:bidi w:val="0"/>
              <w:spacing w:lineRule="auto" w:line="288" w:before="0" w:after="240"/>
              <w:ind w:left="0" w:right="0" w:hanging="346"/>
              <w:jc w:val="both"/>
              <w:rPr/>
            </w:pPr>
            <w:r>
              <w:rPr>
                <w:rFonts w:ascii="Times New Roman;serif" w:hAnsi="Times New Roman;serif"/>
                <w:b w:val="false"/>
                <w:color w:val="000000"/>
                <w:sz w:val="20"/>
              </w:rPr>
              <w:t>(a)</w:t>
            </w:r>
            <w:r>
              <w:rPr>
                <w:rFonts w:ascii="Times New Roman;serif" w:hAnsi="Times New Roman;serif"/>
                <w:b w:val="false"/>
                <w:i/>
                <w:color w:val="000000"/>
                <w:sz w:val="20"/>
              </w:rPr>
              <w:t>Death and Disability</w:t>
            </w:r>
            <w:r>
              <w:rPr>
                <w:rFonts w:ascii="Times New Roman;serif" w:hAnsi="Times New Roman;serif"/>
                <w:b w:val="false"/>
                <w:color w:val="000000"/>
                <w:sz w:val="20"/>
              </w:rPr>
              <w:t xml:space="preserve">. If Participant’s Continuous Service Status is terminated by reason of Participant’s death or Disability before the last day of the Performance Period and the last day of the Performance Period would have occurred during the 2-year period immediately following the date of such termination, the outstanding and unvested PSUs will be deemed earned and vested in the Target number of PSUs as of the date of such termination and any PSUs that do not vest upon such termination of Continuous Service Status shall terminate and be forfeited. </w:t>
            </w:r>
          </w:p>
          <w:p>
            <w:pPr>
              <w:pStyle w:val="TableContents"/>
              <w:bidi w:val="0"/>
              <w:spacing w:lineRule="auto" w:line="288" w:before="0" w:after="240"/>
              <w:ind w:left="0" w:right="0" w:hanging="346"/>
              <w:jc w:val="both"/>
              <w:rPr/>
            </w:pPr>
            <w:r>
              <w:rPr>
                <w:rFonts w:ascii="Times New Roman;serif" w:hAnsi="Times New Roman;serif"/>
                <w:b w:val="false"/>
                <w:color w:val="000000"/>
                <w:sz w:val="20"/>
              </w:rPr>
              <w:t>(b)</w:t>
            </w:r>
            <w:r>
              <w:rPr>
                <w:rFonts w:ascii="Times New Roman;serif" w:hAnsi="Times New Roman;serif"/>
                <w:b w:val="false"/>
                <w:i/>
                <w:color w:val="000000"/>
                <w:sz w:val="20"/>
              </w:rPr>
              <w:t>Retirement</w:t>
            </w:r>
            <w:r>
              <w:rPr>
                <w:rFonts w:ascii="Times New Roman;serif" w:hAnsi="Times New Roman;serif"/>
                <w:b w:val="false"/>
                <w:color w:val="000000"/>
                <w:sz w:val="20"/>
              </w:rPr>
              <w:t xml:space="preserve">. If Participant’s Continuous Service Status is terminated by Participant after the second anniversary of the Date of Grant but before the last day of the Performance Period due to Participant’s Retirement and the last day of the Performance Period would have occurred during the 2-year period immediately following the date of such termination, the outstanding and unvested PSUs will be deemed earned and vested in the Target number of PSUs as of the date of such termination and any PSUs that do not vest upon such termination of Continuous Service Status shall terminate and be forfeited. </w:t>
            </w:r>
          </w:p>
          <w:p>
            <w:pPr>
              <w:pStyle w:val="TableContents"/>
              <w:bidi w:val="0"/>
              <w:spacing w:lineRule="auto" w:line="288" w:before="0" w:after="240"/>
              <w:jc w:val="both"/>
              <w:rPr/>
            </w:pPr>
            <w:r>
              <w:rPr>
                <w:rFonts w:ascii="Times New Roman;serif" w:hAnsi="Times New Roman;serif"/>
                <w:b w:val="false"/>
                <w:color w:val="000000"/>
                <w:sz w:val="20"/>
              </w:rPr>
              <w:t>For purposes of this Grant Notice, “</w:t>
            </w:r>
            <w:r>
              <w:rPr>
                <w:rFonts w:ascii="Times New Roman;serif" w:hAnsi="Times New Roman;serif"/>
                <w:b w:val="false"/>
                <w:color w:val="000000"/>
                <w:sz w:val="20"/>
                <w:u w:val="single"/>
              </w:rPr>
              <w:t>Retirement</w:t>
            </w:r>
            <w:r>
              <w:rPr>
                <w:color w:val="000000"/>
              </w:rPr>
              <w:t xml:space="preserve">” </w:t>
            </w:r>
            <w:r>
              <w:rPr>
                <w:rFonts w:ascii="Times New Roman;serif" w:hAnsi="Times New Roman;serif"/>
                <w:b w:val="false"/>
                <w:color w:val="000000"/>
                <w:sz w:val="20"/>
              </w:rPr>
              <w:t>means termination of Participant’s Continuous Service Status after the date on which Participant attains age 55 with at least 10 years of Continuous Service Status with the Company.</w:t>
            </w:r>
          </w:p>
        </w:tc>
      </w:tr>
    </w:tbl>
    <w:p>
      <w:pPr>
        <w:pStyle w:val="TextBody"/>
        <w:bidi w:val="0"/>
        <w:spacing w:before="0" w:after="0"/>
        <w:ind w:left="0" w:right="0" w:firstLine="720"/>
        <w:jc w:val="right"/>
        <w:rPr/>
      </w:pPr>
      <w:r>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480175" cy="457200"/>
                <wp:effectExtent l="0" t="0" r="0" b="0"/>
                <wp:wrapNone/>
                <wp:docPr id="178" name="Frame176"/>
                <a:graphic xmlns:a="http://schemas.openxmlformats.org/drawingml/2006/main">
                  <a:graphicData uri="http://schemas.microsoft.com/office/word/2010/wordprocessingShape">
                    <wps:wsp>
                      <wps:cNvSpPr txBox="1"/>
                      <wps:spPr>
                        <a:xfrm>
                          <a:off x="0" y="0"/>
                          <a:ext cx="6480175" cy="457200"/>
                        </a:xfrm>
                        <a:prstGeom prst="rect"/>
                        <a:solidFill>
                          <a:srgbClr val="FFFFFF"/>
                        </a:solidFill>
                      </wps:spPr>
                      <wps:txbx>
                        <w:txbxContent>
                          <w:p>
                            <w:pPr>
                              <w:pStyle w:val="TextBody"/>
                              <w:bidi w:val="0"/>
                              <w:spacing w:lineRule="auto" w:line="292" w:before="0" w:after="160"/>
                              <w:jc w:val="center"/>
                              <w:rPr>
                                <w:rFonts w:ascii="sans-serif" w:hAnsi="sans-serif"/>
                                <w:b w:val="false"/>
                                <w:color w:val="000000"/>
                                <w:sz w:val="20"/>
                              </w:rPr>
                            </w:pPr>
                            <w:r>
                              <w:rPr>
                                <w:rFonts w:ascii="sans-serif" w:hAnsi="sans-serif"/>
                                <w:b w:val="false"/>
                                <w:color w:val="000000"/>
                                <w:sz w:val="20"/>
                              </w:rPr>
                              <w:t>2</w:t>
                            </w:r>
                            <w:r>
                              <w:br w:type="page"/>
                            </w:r>
                          </w:p>
                          <w:p>
                            <w:pPr>
                              <w:pStyle w:val="TextBody"/>
                              <w:bidi w:val="0"/>
                              <w:spacing w:before="0" w:after="16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92" w:before="0" w:after="160"/>
                        <w:jc w:val="center"/>
                        <w:rPr>
                          <w:rFonts w:ascii="sans-serif" w:hAnsi="sans-serif"/>
                          <w:b w:val="false"/>
                          <w:color w:val="000000"/>
                          <w:sz w:val="20"/>
                        </w:rPr>
                      </w:pPr>
                      <w:r>
                        <w:rPr>
                          <w:rFonts w:ascii="sans-serif" w:hAnsi="sans-serif"/>
                          <w:b w:val="false"/>
                          <w:color w:val="000000"/>
                          <w:sz w:val="20"/>
                        </w:rPr>
                        <w:t>2</w:t>
                      </w:r>
                    </w:p>
                    <w:p>
                      <w:pPr>
                        <w:pStyle w:val="TextBody"/>
                        <w:bidi w:val="0"/>
                        <w:spacing w:before="0" w:after="160"/>
                        <w:jc w:val="both"/>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55"/>
        <w:gridCol w:w="311"/>
        <w:gridCol w:w="313"/>
        <w:gridCol w:w="2702"/>
        <w:gridCol w:w="2702"/>
        <w:gridCol w:w="3822"/>
      </w:tblGrid>
      <w:tr>
        <w:trPr/>
        <w:tc>
          <w:tcPr>
            <w:tcW w:w="355"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2702" w:type="dxa"/>
            <w:tcBorders/>
            <w:vAlign w:val="center"/>
          </w:tcPr>
          <w:p>
            <w:pPr>
              <w:pStyle w:val="TableContents"/>
              <w:bidi w:val="0"/>
              <w:spacing w:before="0" w:after="283"/>
              <w:jc w:val="left"/>
              <w:rPr>
                <w:sz w:val="4"/>
                <w:szCs w:val="4"/>
              </w:rPr>
            </w:pPr>
            <w:r>
              <w:rPr>
                <w:sz w:val="4"/>
                <w:szCs w:val="4"/>
              </w:rPr>
            </w:r>
          </w:p>
        </w:tc>
        <w:tc>
          <w:tcPr>
            <w:tcW w:w="2702" w:type="dxa"/>
            <w:tcBorders/>
            <w:vAlign w:val="center"/>
          </w:tcPr>
          <w:p>
            <w:pPr>
              <w:pStyle w:val="TableContents"/>
              <w:bidi w:val="0"/>
              <w:spacing w:before="0" w:after="283"/>
              <w:jc w:val="left"/>
              <w:rPr>
                <w:sz w:val="4"/>
                <w:szCs w:val="4"/>
              </w:rPr>
            </w:pPr>
            <w:r>
              <w:rPr>
                <w:sz w:val="4"/>
                <w:szCs w:val="4"/>
              </w:rPr>
            </w:r>
          </w:p>
        </w:tc>
        <w:tc>
          <w:tcPr>
            <w:tcW w:w="3822" w:type="dxa"/>
            <w:tcBorders/>
            <w:vAlign w:val="center"/>
          </w:tcPr>
          <w:p>
            <w:pPr>
              <w:pStyle w:val="TableContents"/>
              <w:bidi w:val="0"/>
              <w:spacing w:before="0" w:after="283"/>
              <w:jc w:val="left"/>
              <w:rPr>
                <w:sz w:val="4"/>
                <w:szCs w:val="4"/>
              </w:rPr>
            </w:pPr>
            <w:r>
              <w:rPr>
                <w:sz w:val="4"/>
                <w:szCs w:val="4"/>
              </w:rPr>
            </w:r>
          </w:p>
        </w:tc>
      </w:tr>
      <w:tr>
        <w:trPr/>
        <w:tc>
          <w:tcPr>
            <w:tcW w:w="979" w:type="dxa"/>
            <w:gridSpan w:val="3"/>
            <w:tcBorders/>
            <w:tcMar>
              <w:top w:w="0" w:type="dxa"/>
              <w:left w:w="0" w:type="dxa"/>
              <w:bottom w:w="0" w:type="dxa"/>
              <w:right w:w="0" w:type="dxa"/>
            </w:tcMar>
            <w:vAlign w:val="center"/>
          </w:tcPr>
          <w:p>
            <w:pPr>
              <w:pStyle w:val="TableContents"/>
              <w:bidi w:val="0"/>
              <w:spacing w:lineRule="auto" w:line="290" w:before="0" w:after="240"/>
              <w:jc w:val="both"/>
              <w:rPr/>
            </w:pPr>
            <w:r>
              <w:rPr>
                <w:rFonts w:ascii="Times New Roman;serif" w:hAnsi="Times New Roman;serif"/>
                <w:b/>
                <w:color w:val="000000"/>
                <w:sz w:val="22"/>
              </w:rPr>
              <w:t>8.</w:t>
            </w:r>
            <w:r>
              <w:rPr>
                <w:rFonts w:ascii="Times New Roman;serif" w:hAnsi="Times New Roman;serif"/>
                <w:b/>
                <w:color w:val="000000"/>
                <w:sz w:val="20"/>
              </w:rPr>
              <w:t>Change in Control:</w:t>
            </w:r>
          </w:p>
        </w:tc>
        <w:tc>
          <w:tcPr>
            <w:tcW w:w="9226" w:type="dxa"/>
            <w:gridSpan w:val="3"/>
            <w:tcBorders/>
            <w:tcMar>
              <w:top w:w="0" w:type="dxa"/>
              <w:left w:w="0" w:type="dxa"/>
              <w:bottom w:w="0" w:type="dxa"/>
              <w:right w:w="0" w:type="dxa"/>
            </w:tcMar>
            <w:vAlign w:val="center"/>
          </w:tcPr>
          <w:p>
            <w:pPr>
              <w:pStyle w:val="TableContents"/>
              <w:bidi w:val="0"/>
              <w:spacing w:lineRule="auto" w:line="288" w:before="0" w:after="240"/>
              <w:jc w:val="both"/>
              <w:rPr/>
            </w:pPr>
            <w:r>
              <w:rPr>
                <w:rFonts w:ascii="Times New Roman;serif" w:hAnsi="Times New Roman;serif"/>
                <w:b w:val="false"/>
                <w:color w:val="000000"/>
                <w:sz w:val="20"/>
              </w:rPr>
              <w:t>If, before the last day of the Performance Period and while Participant maintains their Continuous Service Status, a Change in Control occurs and the PSUs are not assumed or substituted by the Acquiror or continued by the Company in connection with the Change in Control, then, (notwithstanding anything in the Performance Memo to the contrary) the outstanding and unvested PSUs will be deemed earned and vested in the Target number of PSUs as the date of such Change in Control and</w:t>
            </w:r>
            <w:r>
              <w:rPr>
                <w:color w:val="000000"/>
              </w:rPr>
              <w:t xml:space="preserve"> </w:t>
            </w:r>
            <w:r>
              <w:rPr>
                <w:rFonts w:ascii="Times New Roman;serif" w:hAnsi="Times New Roman;serif"/>
                <w:b w:val="false"/>
                <w:color w:val="000000"/>
                <w:sz w:val="20"/>
              </w:rPr>
              <w:t xml:space="preserve">any PSUs that do not vest upon such Change in Control shall terminate and be forfeited. </w:t>
            </w:r>
          </w:p>
          <w:p>
            <w:pPr>
              <w:pStyle w:val="TableContents"/>
              <w:bidi w:val="0"/>
              <w:spacing w:lineRule="auto" w:line="288" w:before="0" w:after="240"/>
              <w:jc w:val="both"/>
              <w:rPr/>
            </w:pPr>
            <w:r>
              <w:rPr>
                <w:rFonts w:ascii="Times New Roman;serif" w:hAnsi="Times New Roman;serif"/>
                <w:b w:val="false"/>
                <w:color w:val="000000"/>
                <w:sz w:val="20"/>
              </w:rPr>
              <w:t>In the event that in connection with a Change in Control the Acquiror assumes or substitutes or the Company continues the PSUs and the Participant’s Continuous Service Status is terminated without Cause by such Acquiror</w:t>
            </w:r>
            <w:r>
              <w:rPr>
                <w:color w:val="000000"/>
              </w:rPr>
              <w:t xml:space="preserve"> </w:t>
            </w:r>
            <w:r>
              <w:rPr>
                <w:rFonts w:ascii="Times New Roman;serif" w:hAnsi="Times New Roman;serif"/>
                <w:b w:val="false"/>
                <w:color w:val="000000"/>
                <w:sz w:val="20"/>
              </w:rPr>
              <w:t>or the Company</w:t>
            </w:r>
            <w:r>
              <w:rPr>
                <w:color w:val="000000"/>
              </w:rPr>
              <w:t xml:space="preserve"> </w:t>
            </w:r>
            <w:r>
              <w:rPr>
                <w:rFonts w:ascii="Times New Roman;serif" w:hAnsi="Times New Roman;serif"/>
                <w:b/>
                <w:color w:val="000000"/>
                <w:sz w:val="20"/>
              </w:rPr>
              <w:t>[or terminated by Participant for Good Reason, in each case,]</w:t>
            </w:r>
            <w:r>
              <w:rPr>
                <w:color w:val="000000"/>
              </w:rPr>
              <w:t xml:space="preserve"> </w:t>
            </w:r>
            <w:r>
              <w:rPr>
                <w:rFonts w:ascii="Times New Roman;serif" w:hAnsi="Times New Roman;serif"/>
                <w:b w:val="false"/>
                <w:color w:val="000000"/>
                <w:sz w:val="20"/>
              </w:rPr>
              <w:t xml:space="preserve">within the 12-month period immediately following the closing of the Change in Control, the outstanding and unvested PSUs will be earned and vested in the Target number of PSUs (as adjusted when assumed or substituted) as of the date of Participant’s termination. </w:t>
            </w:r>
          </w:p>
          <w:p>
            <w:pPr>
              <w:pStyle w:val="TableContents"/>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 addition, if an Acquiror so assumes or substitutes or the Company so continues the unvested portion of the PSUs, notwithstanding any provision to the contrary, any outstanding PSUs which at the time of the Change in Control are not subject to a “substantial risk of forfeiture” (within the meaning of Section 409A of the Code) will be deemed to be vested at the time of such Change in Control and will be settled in accordance with Section 9 of this Grant Notice.</w:t>
            </w:r>
          </w:p>
          <w:p>
            <w:pPr>
              <w:pStyle w:val="TableContents"/>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[For the purposes of this Grant Notice:</w:t>
            </w:r>
          </w:p>
          <w:p>
            <w:pPr>
              <w:pStyle w:val="TableContents"/>
              <w:bidi w:val="0"/>
              <w:spacing w:lineRule="auto" w:line="288" w:before="0" w:after="240"/>
              <w:ind w:left="0" w:right="0" w:hanging="720"/>
              <w:jc w:val="both"/>
              <w:rPr/>
            </w:pPr>
            <w:r>
              <w:rPr>
                <w:rFonts w:ascii="Times New Roman;serif" w:hAnsi="Times New Roman;serif"/>
                <w:b/>
                <w:color w:val="000000"/>
                <w:sz w:val="20"/>
              </w:rPr>
              <w:t>(i)</w:t>
            </w:r>
            <w:r>
              <w:rPr>
                <w:color w:val="000000"/>
              </w:rPr>
              <w:t>“</w:t>
            </w:r>
            <w:r>
              <w:rPr>
                <w:rFonts w:ascii="Times New Roman;serif" w:hAnsi="Times New Roman;serif"/>
                <w:b/>
                <w:color w:val="000000"/>
                <w:sz w:val="20"/>
                <w:u w:val="single"/>
              </w:rPr>
              <w:t>Cause</w:t>
            </w:r>
            <w:r>
              <w:rPr>
                <w:color w:val="000000"/>
              </w:rPr>
              <w:t xml:space="preserve">” </w:t>
            </w:r>
            <w:r>
              <w:rPr>
                <w:rFonts w:ascii="Times New Roman;serif" w:hAnsi="Times New Roman;serif"/>
                <w:b/>
                <w:color w:val="000000"/>
                <w:sz w:val="20"/>
              </w:rPr>
              <w:t>has the meaning in the Senior Management Agreement entered into between Participant and the Company upon Participant being hired (the “</w:t>
            </w:r>
            <w:r>
              <w:rPr>
                <w:rFonts w:ascii="Times New Roman;serif" w:hAnsi="Times New Roman;serif"/>
                <w:b/>
                <w:color w:val="000000"/>
                <w:sz w:val="20"/>
                <w:u w:val="single"/>
              </w:rPr>
              <w:t>Senior Management Agreement</w:t>
            </w:r>
            <w:r>
              <w:rPr>
                <w:color w:val="000000"/>
              </w:rPr>
              <w:t>”</w:t>
            </w:r>
            <w:r>
              <w:rPr>
                <w:rFonts w:ascii="Times New Roman;serif" w:hAnsi="Times New Roman;serif"/>
                <w:b/>
                <w:color w:val="000000"/>
                <w:sz w:val="20"/>
              </w:rPr>
              <w:t>).</w:t>
            </w:r>
          </w:p>
          <w:p>
            <w:pPr>
              <w:pStyle w:val="TableContents"/>
              <w:bidi w:val="0"/>
              <w:spacing w:lineRule="auto" w:line="288" w:before="0" w:after="240"/>
              <w:ind w:left="0" w:right="0" w:hanging="760"/>
              <w:jc w:val="both"/>
              <w:rPr/>
            </w:pPr>
            <w:r>
              <w:rPr>
                <w:rFonts w:ascii="Times New Roman;serif" w:hAnsi="Times New Roman;serif"/>
                <w:b/>
                <w:color w:val="000000"/>
                <w:sz w:val="20"/>
              </w:rPr>
              <w:t>(ii)</w:t>
            </w:r>
            <w:r>
              <w:rPr>
                <w:color w:val="000000"/>
              </w:rPr>
              <w:t>“</w:t>
            </w:r>
            <w:r>
              <w:rPr>
                <w:rFonts w:ascii="Times New Roman;serif" w:hAnsi="Times New Roman;serif"/>
                <w:b/>
                <w:color w:val="000000"/>
                <w:sz w:val="20"/>
                <w:u w:val="single"/>
              </w:rPr>
              <w:t>Good Reason</w:t>
            </w:r>
            <w:r>
              <w:rPr>
                <w:color w:val="000000"/>
              </w:rPr>
              <w:t xml:space="preserve">” </w:t>
            </w:r>
            <w:r>
              <w:rPr>
                <w:rFonts w:ascii="Times New Roman;serif" w:hAnsi="Times New Roman;serif"/>
                <w:b/>
                <w:color w:val="000000"/>
                <w:sz w:val="20"/>
              </w:rPr>
              <w:t>has the meaning in the Senior Management Agreement.]</w:t>
            </w:r>
            <w:r>
              <w:rPr>
                <w:rFonts w:ascii="Times New Roman;serif" w:hAnsi="Times New Roman;serif"/>
                <w:b/>
                <w:color w:val="000000"/>
                <w:sz w:val="13"/>
              </w:rPr>
              <w:t>1</w:t>
            </w:r>
          </w:p>
        </w:tc>
      </w:tr>
    </w:tbl>
    <w:p>
      <w:pPr>
        <w:pStyle w:val="TextBody"/>
        <w:bidi w:val="0"/>
        <w:spacing w:lineRule="auto" w:line="292" w:before="0" w:after="160"/>
        <w:jc w:val="both"/>
        <w:rPr/>
      </w:pPr>
      <w:r>
        <w:rPr>
          <w:rFonts w:ascii="Times New Roman;serif" w:hAnsi="Times New Roman;serif"/>
          <w:b/>
          <w:color w:val="000000"/>
          <w:sz w:val="20"/>
        </w:rPr>
        <w:t>Note: bold and bracketed language included in the form denotes language included in the Notice for executives that are parties to a Senior Management Agreement with the Company</w:t>
      </w:r>
      <w:r>
        <w:rPr>
          <w:rFonts w:ascii="Times New Roman;serif" w:hAnsi="Times New Roman;serif"/>
          <w:b w:val="false"/>
          <w:color w:val="000000"/>
          <w:sz w:val="20"/>
        </w:rPr>
        <w:t>.</w:t>
      </w:r>
    </w:p>
    <w:p>
      <w:pPr>
        <w:pStyle w:val="TextBody"/>
        <w:bidi w:val="0"/>
        <w:spacing w:before="0" w:after="0"/>
        <w:ind w:left="0" w:right="0" w:firstLine="720"/>
        <w:jc w:val="right"/>
        <w:rPr/>
      </w:pPr>
      <w:r>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480175" cy="457200"/>
                <wp:effectExtent l="0" t="0" r="0" b="0"/>
                <wp:wrapNone/>
                <wp:docPr id="179" name="Frame177"/>
                <a:graphic xmlns:a="http://schemas.openxmlformats.org/drawingml/2006/main">
                  <a:graphicData uri="http://schemas.microsoft.com/office/word/2010/wordprocessingShape">
                    <wps:wsp>
                      <wps:cNvSpPr txBox="1"/>
                      <wps:spPr>
                        <a:xfrm>
                          <a:off x="0" y="0"/>
                          <a:ext cx="6480175" cy="457200"/>
                        </a:xfrm>
                        <a:prstGeom prst="rect"/>
                        <a:solidFill>
                          <a:srgbClr val="FFFFFF"/>
                        </a:solidFill>
                      </wps:spPr>
                      <wps:txbx>
                        <w:txbxContent>
                          <w:p>
                            <w:pPr>
                              <w:pStyle w:val="TextBody"/>
                              <w:bidi w:val="0"/>
                              <w:spacing w:lineRule="auto" w:line="292" w:before="0" w:after="160"/>
                              <w:jc w:val="center"/>
                              <w:rPr>
                                <w:rFonts w:ascii="sans-serif" w:hAnsi="sans-serif"/>
                                <w:b w:val="false"/>
                                <w:color w:val="000000"/>
                                <w:sz w:val="20"/>
                              </w:rPr>
                            </w:pPr>
                            <w:r>
                              <w:rPr>
                                <w:rFonts w:ascii="sans-serif" w:hAnsi="sans-serif"/>
                                <w:b w:val="false"/>
                                <w:color w:val="000000"/>
                                <w:sz w:val="20"/>
                              </w:rPr>
                              <w:t>3</w:t>
                            </w:r>
                            <w:r>
                              <w:br w:type="page"/>
                            </w:r>
                          </w:p>
                          <w:p>
                            <w:pPr>
                              <w:pStyle w:val="TextBody"/>
                              <w:bidi w:val="0"/>
                              <w:spacing w:before="0" w:after="16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92" w:before="0" w:after="160"/>
                        <w:jc w:val="center"/>
                        <w:rPr>
                          <w:rFonts w:ascii="sans-serif" w:hAnsi="sans-serif"/>
                          <w:b w:val="false"/>
                          <w:color w:val="000000"/>
                          <w:sz w:val="20"/>
                        </w:rPr>
                      </w:pPr>
                      <w:r>
                        <w:rPr>
                          <w:rFonts w:ascii="sans-serif" w:hAnsi="sans-serif"/>
                          <w:b w:val="false"/>
                          <w:color w:val="000000"/>
                          <w:sz w:val="20"/>
                        </w:rPr>
                        <w:t>3</w:t>
                      </w:r>
                    </w:p>
                    <w:p>
                      <w:pPr>
                        <w:pStyle w:val="TextBody"/>
                        <w:bidi w:val="0"/>
                        <w:spacing w:before="0" w:after="160"/>
                        <w:jc w:val="both"/>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70"/>
        <w:gridCol w:w="326"/>
        <w:gridCol w:w="328"/>
        <w:gridCol w:w="2689"/>
        <w:gridCol w:w="2689"/>
        <w:gridCol w:w="3803"/>
      </w:tblGrid>
      <w:tr>
        <w:trPr/>
        <w:tc>
          <w:tcPr>
            <w:tcW w:w="370"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3" w:type="dxa"/>
            <w:tcBorders/>
            <w:vAlign w:val="center"/>
          </w:tcPr>
          <w:p>
            <w:pPr>
              <w:pStyle w:val="TableContents"/>
              <w:bidi w:val="0"/>
              <w:spacing w:before="0" w:after="283"/>
              <w:jc w:val="left"/>
              <w:rPr>
                <w:sz w:val="4"/>
                <w:szCs w:val="4"/>
              </w:rPr>
            </w:pPr>
            <w:r>
              <w:rPr>
                <w:sz w:val="4"/>
                <w:szCs w:val="4"/>
              </w:rPr>
            </w:r>
          </w:p>
        </w:tc>
      </w:tr>
      <w:tr>
        <w:trPr/>
        <w:tc>
          <w:tcPr>
            <w:tcW w:w="1024" w:type="dxa"/>
            <w:gridSpan w:val="3"/>
            <w:tcBorders/>
            <w:tcMar>
              <w:top w:w="0" w:type="dxa"/>
              <w:left w:w="0" w:type="dxa"/>
              <w:bottom w:w="0" w:type="dxa"/>
              <w:right w:w="0" w:type="dxa"/>
            </w:tcMar>
            <w:vAlign w:val="center"/>
          </w:tcPr>
          <w:p>
            <w:pPr>
              <w:pStyle w:val="TableContents"/>
              <w:bidi w:val="0"/>
              <w:spacing w:lineRule="auto" w:line="290" w:before="0" w:after="240"/>
              <w:jc w:val="both"/>
              <w:rPr/>
            </w:pPr>
            <w:r>
              <w:rPr>
                <w:rFonts w:ascii="Times New Roman;serif" w:hAnsi="Times New Roman;serif"/>
                <w:b/>
                <w:color w:val="000000"/>
                <w:sz w:val="22"/>
              </w:rPr>
              <w:t>9.</w:t>
            </w:r>
            <w:r>
              <w:rPr>
                <w:rFonts w:ascii="Times New Roman;serif" w:hAnsi="Times New Roman;serif"/>
                <w:b/>
                <w:color w:val="000000"/>
                <w:sz w:val="20"/>
              </w:rPr>
              <w:t>Issuance Schedule:</w:t>
            </w:r>
          </w:p>
        </w:tc>
        <w:tc>
          <w:tcPr>
            <w:tcW w:w="9181" w:type="dxa"/>
            <w:gridSpan w:val="3"/>
            <w:tcBorders/>
            <w:tcMar>
              <w:top w:w="0" w:type="dxa"/>
              <w:left w:w="0" w:type="dxa"/>
              <w:bottom w:w="0" w:type="dxa"/>
              <w:right w:w="0" w:type="dxa"/>
            </w:tcMar>
            <w:vAlign w:val="center"/>
          </w:tcPr>
          <w:p>
            <w:pPr>
              <w:pStyle w:val="TableContents"/>
              <w:bidi w:val="0"/>
              <w:spacing w:lineRule="auto" w:line="288" w:before="0" w:after="240"/>
              <w:ind w:left="0" w:right="0" w:hanging="400"/>
              <w:jc w:val="both"/>
              <w:rPr/>
            </w:pPr>
            <w:r>
              <w:rPr>
                <w:rFonts w:ascii="Times New Roman;serif" w:hAnsi="Times New Roman;serif"/>
                <w:b w:val="false"/>
                <w:color w:val="000000"/>
                <w:sz w:val="20"/>
              </w:rPr>
              <w:t>(a)</w:t>
            </w:r>
            <w:r>
              <w:rPr>
                <w:color w:val="000000"/>
              </w:rPr>
              <w:t xml:space="preserve"> </w:t>
            </w:r>
            <w:r>
              <w:rPr>
                <w:rFonts w:ascii="Times New Roman;serif" w:hAnsi="Times New Roman;serif"/>
                <w:b w:val="false"/>
                <w:i/>
                <w:color w:val="000000"/>
                <w:sz w:val="20"/>
              </w:rPr>
              <w:t>General</w:t>
            </w:r>
            <w:r>
              <w:rPr>
                <w:rFonts w:ascii="Times New Roman;serif" w:hAnsi="Times New Roman;serif"/>
                <w:b w:val="false"/>
                <w:color w:val="000000"/>
                <w:sz w:val="20"/>
              </w:rPr>
              <w:t>. Subject to Sections 6 and 9(b) of this Grant Notice and Section 2 of the PSU Agreement, following at the end of the Performance Period the Committee will certify the achievement of the Performance Goals and the number of PSUs vested and earned. The vested and earned PSUs shall be settled in Shares within 2-1/2 months following the end of the Performance Period.</w:t>
            </w:r>
          </w:p>
          <w:p>
            <w:pPr>
              <w:pStyle w:val="TableContents"/>
              <w:bidi w:val="0"/>
              <w:spacing w:lineRule="auto" w:line="288" w:before="0" w:after="240"/>
              <w:ind w:left="0" w:right="0" w:hanging="400"/>
              <w:jc w:val="both"/>
              <w:rPr/>
            </w:pPr>
            <w:r>
              <w:rPr>
                <w:rFonts w:ascii="Times New Roman;serif" w:hAnsi="Times New Roman;serif"/>
                <w:b w:val="false"/>
                <w:color w:val="000000"/>
                <w:sz w:val="20"/>
              </w:rPr>
              <w:t xml:space="preserve">(b) </w:t>
            </w:r>
            <w:r>
              <w:rPr>
                <w:rFonts w:ascii="Times New Roman;serif" w:hAnsi="Times New Roman;serif"/>
                <w:b w:val="false"/>
                <w:i/>
                <w:color w:val="000000"/>
                <w:sz w:val="20"/>
              </w:rPr>
              <w:t>Other Settlement Dates</w:t>
            </w:r>
            <w:r>
              <w:rPr>
                <w:rFonts w:ascii="Times New Roman;serif" w:hAnsi="Times New Roman;serif"/>
                <w:b w:val="false"/>
                <w:color w:val="000000"/>
                <w:sz w:val="20"/>
              </w:rPr>
              <w:t>. Notwithstanding Section 9(a), to the extent that the PSUs are vested on the dates set forth below, the vested PSUs shall be settled in Shares as follows:</w:t>
            </w:r>
          </w:p>
          <w:p>
            <w:pPr>
              <w:pStyle w:val="TableContents"/>
              <w:bidi w:val="0"/>
              <w:spacing w:lineRule="auto" w:line="288" w:before="0" w:after="240"/>
              <w:ind w:left="0" w:right="0" w:firstLine="320"/>
              <w:jc w:val="both"/>
              <w:rPr/>
            </w:pPr>
            <w:r>
              <w:rPr>
                <w:rFonts w:ascii="Times New Roman;serif" w:hAnsi="Times New Roman;serif"/>
                <w:b w:val="false"/>
                <w:color w:val="000000"/>
                <w:sz w:val="20"/>
              </w:rPr>
              <w:t xml:space="preserve">(i) </w:t>
            </w:r>
            <w:r>
              <w:rPr>
                <w:rFonts w:ascii="Times New Roman;serif" w:hAnsi="Times New Roman;serif"/>
                <w:b w:val="false"/>
                <w:i/>
                <w:color w:val="000000"/>
                <w:sz w:val="20"/>
              </w:rPr>
              <w:t>Termination of Continuous Service Status or Death.</w:t>
            </w:r>
            <w:r>
              <w:rPr>
                <w:color w:val="000000"/>
              </w:rPr>
              <w:t xml:space="preserve"> </w:t>
            </w:r>
            <w:r>
              <w:rPr>
                <w:rFonts w:ascii="Times New Roman;serif" w:hAnsi="Times New Roman;serif"/>
                <w:b w:val="false"/>
                <w:color w:val="000000"/>
                <w:sz w:val="20"/>
              </w:rPr>
              <w:t>Within 30 days following the date of Participant’s termination of Continuous Service Status with the Company or death, any PSUs vested and deemed earned as of such termination or death shall be settled; provided, however, that if such termination of Continuous Service Status would not qualify as a “separation from service” as defined under Section 409A of the Code, and where Section 409A of the Code applies to such distribution, such vested PSUs shall be settled on the date that would have otherwise applied pursuant to Sections 9(a) or 9(b) of this Grant Notice.</w:t>
            </w:r>
          </w:p>
          <w:p>
            <w:pPr>
              <w:pStyle w:val="TableContents"/>
              <w:bidi w:val="0"/>
              <w:spacing w:lineRule="auto" w:line="288" w:before="0" w:after="240"/>
              <w:ind w:left="0" w:right="0" w:firstLine="320"/>
              <w:jc w:val="both"/>
              <w:rPr/>
            </w:pPr>
            <w:r>
              <w:rPr>
                <w:rFonts w:ascii="Times New Roman;serif" w:hAnsi="Times New Roman;serif"/>
                <w:b w:val="false"/>
                <w:color w:val="000000"/>
                <w:sz w:val="20"/>
              </w:rPr>
              <w:t>(ii)    </w:t>
            </w:r>
            <w:r>
              <w:rPr>
                <w:rFonts w:ascii="Times New Roman;serif" w:hAnsi="Times New Roman;serif"/>
                <w:b w:val="false"/>
                <w:i/>
                <w:color w:val="000000"/>
                <w:sz w:val="20"/>
              </w:rPr>
              <w:t>Change in Control.</w:t>
            </w:r>
            <w:r>
              <w:rPr>
                <w:color w:val="000000"/>
              </w:rPr>
              <w:t xml:space="preserve"> </w:t>
            </w:r>
            <w:r>
              <w:rPr>
                <w:rFonts w:ascii="Times New Roman;serif" w:hAnsi="Times New Roman;serif"/>
                <w:b w:val="false"/>
                <w:color w:val="000000"/>
                <w:sz w:val="20"/>
              </w:rPr>
              <w:t xml:space="preserve">Within 30 days following a Change in Control, any PSUs vested and deemed earned as of such Change in Control shall be settled; provided, however, that if such Change in Control would not qualify as a permissible date of distribution under Section 409A(a)(2)(A) of the Code, and where Section 409A of the Code applies to such distribution, such vested PSUs shall be settled on the date that would have otherwise applied pursuant to Sections 9(a) or 9(b) of this Grant Notice. </w:t>
            </w:r>
          </w:p>
          <w:p>
            <w:pPr>
              <w:pStyle w:val="TableContents"/>
              <w:bidi w:val="0"/>
              <w:spacing w:lineRule="auto" w:line="288" w:before="0" w:after="240"/>
              <w:ind w:left="0" w:right="0" w:hanging="400"/>
              <w:jc w:val="both"/>
              <w:rPr/>
            </w:pPr>
            <w:r>
              <w:rPr>
                <w:rFonts w:ascii="Times New Roman;serif" w:hAnsi="Times New Roman;serif"/>
                <w:b w:val="false"/>
                <w:color w:val="000000"/>
                <w:sz w:val="20"/>
              </w:rPr>
              <w:t xml:space="preserve">(c) </w:t>
            </w:r>
            <w:r>
              <w:rPr>
                <w:rFonts w:ascii="Times New Roman;serif" w:hAnsi="Times New Roman;serif"/>
                <w:b w:val="false"/>
                <w:i/>
                <w:color w:val="000000"/>
                <w:sz w:val="20"/>
              </w:rPr>
              <w:t>Accelerated Payment.</w:t>
            </w:r>
            <w:r>
              <w:rPr>
                <w:color w:val="000000"/>
              </w:rPr>
              <w:t xml:space="preserve"> </w:t>
            </w:r>
            <w:r>
              <w:rPr>
                <w:rFonts w:ascii="Times New Roman;serif" w:hAnsi="Times New Roman;serif"/>
                <w:b w:val="false"/>
                <w:color w:val="000000"/>
                <w:sz w:val="20"/>
              </w:rPr>
              <w:t>Notwithstanding anything stated in this Grant Notice, in the PSU Agreement, the Plan or any other agreement applicable to the PSUs, the Company shall have the discretion to settle the PSUs prior to the time set forth herein to the extent permitted by Treasury Regulation Section 1.409A-3(j)(4).</w:t>
            </w:r>
          </w:p>
        </w:tc>
      </w:tr>
    </w:tbl>
    <w:p>
      <w:pPr>
        <w:pStyle w:val="TextBody"/>
        <w:bidi w:val="0"/>
        <w:spacing w:before="0" w:after="0"/>
        <w:ind w:left="0" w:right="0" w:firstLine="720"/>
        <w:jc w:val="right"/>
        <w:rPr/>
      </w:pPr>
      <w:r>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480175" cy="457200"/>
                <wp:effectExtent l="0" t="0" r="0" b="0"/>
                <wp:wrapNone/>
                <wp:docPr id="180" name="Frame178"/>
                <a:graphic xmlns:a="http://schemas.openxmlformats.org/drawingml/2006/main">
                  <a:graphicData uri="http://schemas.microsoft.com/office/word/2010/wordprocessingShape">
                    <wps:wsp>
                      <wps:cNvSpPr txBox="1"/>
                      <wps:spPr>
                        <a:xfrm>
                          <a:off x="0" y="0"/>
                          <a:ext cx="6480175" cy="457200"/>
                        </a:xfrm>
                        <a:prstGeom prst="rect"/>
                        <a:solidFill>
                          <a:srgbClr val="FFFFFF"/>
                        </a:solidFill>
                      </wps:spPr>
                      <wps:txbx>
                        <w:txbxContent>
                          <w:p>
                            <w:pPr>
                              <w:pStyle w:val="TextBody"/>
                              <w:bidi w:val="0"/>
                              <w:spacing w:lineRule="auto" w:line="292" w:before="0" w:after="160"/>
                              <w:jc w:val="center"/>
                              <w:rPr>
                                <w:rFonts w:ascii="sans-serif" w:hAnsi="sans-serif"/>
                                <w:b w:val="false"/>
                                <w:color w:val="000000"/>
                                <w:sz w:val="20"/>
                              </w:rPr>
                            </w:pPr>
                            <w:r>
                              <w:rPr>
                                <w:rFonts w:ascii="sans-serif" w:hAnsi="sans-serif"/>
                                <w:b w:val="false"/>
                                <w:color w:val="000000"/>
                                <w:sz w:val="20"/>
                              </w:rPr>
                              <w:t>4</w:t>
                            </w:r>
                            <w:r>
                              <w:br w:type="page"/>
                            </w:r>
                          </w:p>
                          <w:p>
                            <w:pPr>
                              <w:pStyle w:val="TextBody"/>
                              <w:bidi w:val="0"/>
                              <w:spacing w:before="0" w:after="16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92" w:before="0" w:after="160"/>
                        <w:jc w:val="center"/>
                        <w:rPr>
                          <w:rFonts w:ascii="sans-serif" w:hAnsi="sans-serif"/>
                          <w:b w:val="false"/>
                          <w:color w:val="000000"/>
                          <w:sz w:val="20"/>
                        </w:rPr>
                      </w:pPr>
                      <w:r>
                        <w:rPr>
                          <w:rFonts w:ascii="sans-serif" w:hAnsi="sans-serif"/>
                          <w:b w:val="false"/>
                          <w:color w:val="000000"/>
                          <w:sz w:val="20"/>
                        </w:rPr>
                        <w:t>4</w:t>
                      </w:r>
                    </w:p>
                    <w:p>
                      <w:pPr>
                        <w:pStyle w:val="TextBody"/>
                        <w:bidi w:val="0"/>
                        <w:spacing w:before="0" w:after="160"/>
                        <w:jc w:val="both"/>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515"/>
        <w:gridCol w:w="452"/>
        <w:gridCol w:w="454"/>
        <w:gridCol w:w="2572"/>
        <w:gridCol w:w="2572"/>
        <w:gridCol w:w="3640"/>
      </w:tblGrid>
      <w:tr>
        <w:trPr/>
        <w:tc>
          <w:tcPr>
            <w:tcW w:w="515"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2572" w:type="dxa"/>
            <w:tcBorders/>
            <w:vAlign w:val="center"/>
          </w:tcPr>
          <w:p>
            <w:pPr>
              <w:pStyle w:val="TableContents"/>
              <w:bidi w:val="0"/>
              <w:spacing w:before="0" w:after="283"/>
              <w:jc w:val="left"/>
              <w:rPr>
                <w:sz w:val="4"/>
                <w:szCs w:val="4"/>
              </w:rPr>
            </w:pPr>
            <w:r>
              <w:rPr>
                <w:sz w:val="4"/>
                <w:szCs w:val="4"/>
              </w:rPr>
            </w:r>
          </w:p>
        </w:tc>
        <w:tc>
          <w:tcPr>
            <w:tcW w:w="2572" w:type="dxa"/>
            <w:tcBorders/>
            <w:vAlign w:val="center"/>
          </w:tcPr>
          <w:p>
            <w:pPr>
              <w:pStyle w:val="TableContents"/>
              <w:bidi w:val="0"/>
              <w:spacing w:before="0" w:after="283"/>
              <w:jc w:val="left"/>
              <w:rPr>
                <w:sz w:val="4"/>
                <w:szCs w:val="4"/>
              </w:rPr>
            </w:pPr>
            <w:r>
              <w:rPr>
                <w:sz w:val="4"/>
                <w:szCs w:val="4"/>
              </w:rPr>
            </w:r>
          </w:p>
        </w:tc>
        <w:tc>
          <w:tcPr>
            <w:tcW w:w="3640" w:type="dxa"/>
            <w:tcBorders/>
            <w:vAlign w:val="center"/>
          </w:tcPr>
          <w:p>
            <w:pPr>
              <w:pStyle w:val="TableContents"/>
              <w:bidi w:val="0"/>
              <w:spacing w:before="0" w:after="283"/>
              <w:jc w:val="left"/>
              <w:rPr>
                <w:sz w:val="4"/>
                <w:szCs w:val="4"/>
              </w:rPr>
            </w:pPr>
            <w:r>
              <w:rPr>
                <w:sz w:val="4"/>
                <w:szCs w:val="4"/>
              </w:rPr>
            </w:r>
          </w:p>
        </w:tc>
      </w:tr>
      <w:tr>
        <w:trPr/>
        <w:tc>
          <w:tcPr>
            <w:tcW w:w="1421" w:type="dxa"/>
            <w:gridSpan w:val="3"/>
            <w:tcBorders/>
            <w:tcMar>
              <w:top w:w="0" w:type="dxa"/>
              <w:left w:w="0" w:type="dxa"/>
              <w:bottom w:w="0" w:type="dxa"/>
              <w:right w:w="0" w:type="dxa"/>
            </w:tcMar>
            <w:vAlign w:val="center"/>
          </w:tcPr>
          <w:p>
            <w:pPr>
              <w:pStyle w:val="TableContents"/>
              <w:bidi w:val="0"/>
              <w:spacing w:lineRule="auto" w:line="290" w:before="0" w:after="240"/>
              <w:jc w:val="both"/>
              <w:rPr/>
            </w:pPr>
            <w:r>
              <w:rPr>
                <w:rFonts w:ascii="Times New Roman;serif" w:hAnsi="Times New Roman;serif"/>
                <w:b/>
                <w:color w:val="000000"/>
                <w:sz w:val="22"/>
              </w:rPr>
              <w:t>10.</w:t>
            </w:r>
            <w:r>
              <w:rPr>
                <w:rFonts w:ascii="Times New Roman;serif" w:hAnsi="Times New Roman;serif"/>
                <w:b/>
                <w:color w:val="000000"/>
                <w:sz w:val="20"/>
              </w:rPr>
              <w:t>Tax Withholding Treatment:</w:t>
            </w:r>
          </w:p>
        </w:tc>
        <w:tc>
          <w:tcPr>
            <w:tcW w:w="8784" w:type="dxa"/>
            <w:gridSpan w:val="3"/>
            <w:tcBorders/>
            <w:tcMar>
              <w:top w:w="0" w:type="dxa"/>
              <w:left w:w="0" w:type="dxa"/>
              <w:bottom w:w="0" w:type="dxa"/>
              <w:right w:w="0" w:type="dxa"/>
            </w:tcMar>
            <w:vAlign w:val="center"/>
          </w:tcPr>
          <w:p>
            <w:pPr>
              <w:pStyle w:val="TableContents"/>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As a condition to acceptance of this award of PSUs, to the greatest extent permitted under the Plan and Applicable Laws, and absent any contrary determination by the Committee, any Tax Withholding Obligations will be satisfied by the Company withholding a number of the Shares issuable upon settlement determined in accordance with Section 3 of the PSU Agreement and making payments from its own funds to the appropriate taxing authorities in an amount equal to the Tax Withholding Obligations. Any Shares so withheld shall be credited against such withholding requirements at the fair market value of such shares on the date of such withholding.</w:t>
            </w:r>
          </w:p>
          <w:p>
            <w:pPr>
              <w:pStyle w:val="TableContents"/>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Notwithstanding the forgoing, if Participant is not a Company officer or Board member that is subject to Section 16 of the Exchange Act, the Company may adopt (in its discretion, without further Committee approval) such other treatment or program for such Tax Withholding Obligations, including requiring cash payments or other forms of payment as permitted under Section 9 of the Plan (limited to maximum permitted amounts), all as consistent with Section 26 of the Plan.</w:t>
            </w:r>
          </w:p>
          <w:p>
            <w:pPr>
              <w:pStyle w:val="TableContents"/>
              <w:bidi w:val="0"/>
              <w:spacing w:lineRule="auto" w:line="288" w:before="0" w:after="240"/>
              <w:ind w:left="0" w:right="0" w:hanging="400"/>
              <w:jc w:val="both"/>
              <w:rPr>
                <w:rFonts w:ascii="Times New Roman;serif" w:hAnsi="Times New Roman;serif"/>
                <w:b w:val="false"/>
                <w:color w:val="000000"/>
                <w:sz w:val="20"/>
              </w:rPr>
            </w:pPr>
            <w:r>
              <w:rPr>
                <w:rFonts w:ascii="Times New Roman;serif" w:hAnsi="Times New Roman;serif"/>
                <w:b w:val="false"/>
                <w:color w:val="000000"/>
                <w:sz w:val="20"/>
              </w:rPr>
              <w:t>The Company may also enter into any other arrangement with the Participant to satisfy Participant’s Tax Withholding Obligations in accordance with Section 3 of the PSU Agreement.</w:t>
            </w:r>
          </w:p>
        </w:tc>
      </w:tr>
    </w:tbl>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By signing this Grant Notice or otherwise accepting this grant, Participant hereby agrees to all of the following:</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This award of PSUs is granted under and governed by the terms and conditions of this Grant Notice, the Plan, the PSU Agreement (including any relevant Country-Specific Addendum), the Performance Memo and any ancillary documents.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Participant acknowledges and agrees that Participant will incur and is responsible for satisfaction of the Tax Withholding Obligations in connection with this award of PSUs and that, unless otherwise directed by the Committee, the Company and/or the Employer will mandate arrangements with the Participant to satisfy such Tax Withholding Obligations in accordance with Section 3 of the PSU Agreement, including, but not limited to, the arrangements described herein.</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Participant acknowledges and agrees that Participant has reviewed the Plan, the Performance Memo and the PSU Agreement in their entirety, has had an opportunity to obtain the advice of counsel prior to accepting the PSUs, and fully understands all provisions of the Plan, the Performance Memo, this Grant Notice and the PSU Agreement.</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Participant acknowledges and agrees that Participant has read the Company’s Insider Trading Policy, and agrees to comply with such policy, as it may be amended from time to time.</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Participant agrees to accept as binding, conclusive and final all decisions or interpretations of the Administrator upon any questions relating to the Plan, the Performance Memo and PSU Agreement.</w:t>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0"/>
        <w:ind w:left="0" w:right="0" w:firstLine="720"/>
        <w:jc w:val="right"/>
        <w:rPr/>
      </w:pPr>
      <w:r>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480175" cy="457200"/>
                <wp:effectExtent l="0" t="0" r="0" b="0"/>
                <wp:wrapNone/>
                <wp:docPr id="181" name="Frame179"/>
                <a:graphic xmlns:a="http://schemas.openxmlformats.org/drawingml/2006/main">
                  <a:graphicData uri="http://schemas.microsoft.com/office/word/2010/wordprocessingShape">
                    <wps:wsp>
                      <wps:cNvSpPr txBox="1"/>
                      <wps:spPr>
                        <a:xfrm>
                          <a:off x="0" y="0"/>
                          <a:ext cx="6480175" cy="457200"/>
                        </a:xfrm>
                        <a:prstGeom prst="rect"/>
                        <a:solidFill>
                          <a:srgbClr val="FFFFFF"/>
                        </a:solidFill>
                      </wps:spPr>
                      <wps:txbx>
                        <w:txbxContent>
                          <w:p>
                            <w:pPr>
                              <w:pStyle w:val="TextBody"/>
                              <w:bidi w:val="0"/>
                              <w:spacing w:lineRule="auto" w:line="292" w:before="0" w:after="160"/>
                              <w:jc w:val="center"/>
                              <w:rPr>
                                <w:rFonts w:ascii="sans-serif" w:hAnsi="sans-serif"/>
                                <w:b w:val="false"/>
                                <w:color w:val="000000"/>
                                <w:sz w:val="20"/>
                              </w:rPr>
                            </w:pPr>
                            <w:r>
                              <w:rPr>
                                <w:rFonts w:ascii="sans-serif" w:hAnsi="sans-serif"/>
                                <w:b w:val="false"/>
                                <w:color w:val="000000"/>
                                <w:sz w:val="20"/>
                              </w:rPr>
                              <w:t>5</w:t>
                            </w:r>
                            <w:r>
                              <w:br w:type="page"/>
                            </w:r>
                          </w:p>
                          <w:p>
                            <w:pPr>
                              <w:pStyle w:val="TextBody"/>
                              <w:bidi w:val="0"/>
                              <w:spacing w:before="0" w:after="16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92" w:before="0" w:after="160"/>
                        <w:jc w:val="center"/>
                        <w:rPr>
                          <w:rFonts w:ascii="sans-serif" w:hAnsi="sans-serif"/>
                          <w:b w:val="false"/>
                          <w:color w:val="000000"/>
                          <w:sz w:val="20"/>
                        </w:rPr>
                      </w:pPr>
                      <w:r>
                        <w:rPr>
                          <w:rFonts w:ascii="sans-serif" w:hAnsi="sans-serif"/>
                          <w:b w:val="false"/>
                          <w:color w:val="000000"/>
                          <w:sz w:val="20"/>
                        </w:rPr>
                        <w:t>5</w:t>
                      </w:r>
                    </w:p>
                    <w:p>
                      <w:pPr>
                        <w:pStyle w:val="TextBody"/>
                        <w:bidi w:val="0"/>
                        <w:spacing w:before="0" w:after="160"/>
                        <w:jc w:val="both"/>
                        <w:rPr/>
                      </w:pPr>
                      <w:r>
                        <w:rPr/>
                      </w:r>
                    </w:p>
                  </w:txbxContent>
                </v:textbox>
                <w10:wrap type="none"/>
              </v:rect>
            </w:pict>
          </mc:Fallback>
        </mc:AlternateContent>
      </w:r>
    </w:p>
    <w:tbl>
      <w:tblPr>
        <w:tblW w:w="1349" w:type="dxa"/>
        <w:jc w:val="left"/>
        <w:tblInd w:w="0" w:type="dxa"/>
        <w:tblLayout w:type="fixed"/>
        <w:tblCellMar>
          <w:top w:w="28" w:type="dxa"/>
          <w:left w:w="28" w:type="dxa"/>
          <w:bottom w:w="28" w:type="dxa"/>
          <w:right w:w="28" w:type="dxa"/>
        </w:tblCellMar>
      </w:tblPr>
      <w:tblGrid>
        <w:gridCol w:w="432"/>
        <w:gridCol w:w="378"/>
        <w:gridCol w:w="539"/>
      </w:tblGrid>
      <w:tr>
        <w:trPr/>
        <w:tc>
          <w:tcPr>
            <w:tcW w:w="432"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r>
      <w:tr>
        <w:trPr/>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90" w:before="0" w:after="160"/>
              <w:jc w:val="both"/>
              <w:rPr>
                <w:rFonts w:ascii="Times New Roman;serif" w:hAnsi="Times New Roman;serif"/>
                <w:b w:val="false"/>
                <w:color w:val="000000"/>
                <w:sz w:val="20"/>
              </w:rPr>
            </w:pPr>
            <w:r>
              <w:rPr>
                <w:rFonts w:ascii="Times New Roman;serif" w:hAnsi="Times New Roman;serif"/>
                <w:b w:val="false"/>
                <w:color w:val="000000"/>
                <w:sz w:val="20"/>
              </w:rPr>
              <w:t>Name</w:t>
            </w:r>
          </w:p>
        </w:tc>
      </w:tr>
      <w:tr>
        <w:trPr/>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90" w:before="0" w:after="160"/>
              <w:jc w:val="both"/>
              <w:rPr>
                <w:rFonts w:ascii="Times New Roman;serif" w:hAnsi="Times New Roman;serif"/>
                <w:b w:val="false"/>
                <w:color w:val="000000"/>
                <w:sz w:val="20"/>
              </w:rPr>
            </w:pPr>
            <w:r>
              <w:rPr>
                <w:rFonts w:ascii="Times New Roman;serif" w:hAnsi="Times New Roman;serif"/>
                <w:b w:val="false"/>
                <w:color w:val="000000"/>
                <w:sz w:val="20"/>
              </w:rPr>
              <w:t>Date Accepted</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720"/>
        <w:jc w:val="right"/>
        <w:rPr/>
      </w:pPr>
      <w:r>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480175" cy="457200"/>
                <wp:effectExtent l="0" t="0" r="0" b="0"/>
                <wp:wrapNone/>
                <wp:docPr id="182" name="Frame180"/>
                <a:graphic xmlns:a="http://schemas.openxmlformats.org/drawingml/2006/main">
                  <a:graphicData uri="http://schemas.microsoft.com/office/word/2010/wordprocessingShape">
                    <wps:wsp>
                      <wps:cNvSpPr txBox="1"/>
                      <wps:spPr>
                        <a:xfrm>
                          <a:off x="0" y="0"/>
                          <a:ext cx="6480175" cy="457200"/>
                        </a:xfrm>
                        <a:prstGeom prst="rect"/>
                        <a:solidFill>
                          <a:srgbClr val="FFFFFF"/>
                        </a:solidFill>
                      </wps:spPr>
                      <wps:txbx>
                        <w:txbxContent>
                          <w:p>
                            <w:pPr>
                              <w:pStyle w:val="TextBody"/>
                              <w:bidi w:val="0"/>
                              <w:spacing w:lineRule="auto" w:line="292" w:before="0" w:after="160"/>
                              <w:jc w:val="center"/>
                              <w:rPr>
                                <w:rFonts w:ascii="sans-serif" w:hAnsi="sans-serif"/>
                                <w:b w:val="false"/>
                                <w:color w:val="000000"/>
                                <w:sz w:val="20"/>
                              </w:rPr>
                            </w:pPr>
                            <w:r>
                              <w:rPr>
                                <w:rFonts w:ascii="sans-serif" w:hAnsi="sans-serif"/>
                                <w:b w:val="false"/>
                                <w:color w:val="000000"/>
                                <w:sz w:val="20"/>
                              </w:rPr>
                              <w:t>6</w:t>
                            </w:r>
                            <w:r>
                              <w:br w:type="page"/>
                            </w:r>
                          </w:p>
                          <w:p>
                            <w:pPr>
                              <w:pStyle w:val="TextBody"/>
                              <w:bidi w:val="0"/>
                              <w:spacing w:before="0" w:after="16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92" w:before="0" w:after="160"/>
                        <w:jc w:val="center"/>
                        <w:rPr>
                          <w:rFonts w:ascii="sans-serif" w:hAnsi="sans-serif"/>
                          <w:b w:val="false"/>
                          <w:color w:val="000000"/>
                          <w:sz w:val="20"/>
                        </w:rPr>
                      </w:pPr>
                      <w:r>
                        <w:rPr>
                          <w:rFonts w:ascii="sans-serif" w:hAnsi="sans-serif"/>
                          <w:b w:val="false"/>
                          <w:color w:val="000000"/>
                          <w:sz w:val="20"/>
                        </w:rPr>
                        <w:t>6</w:t>
                      </w:r>
                    </w:p>
                    <w:p>
                      <w:pPr>
                        <w:pStyle w:val="TextBody"/>
                        <w:bidi w:val="0"/>
                        <w:spacing w:before="0" w:after="160"/>
                        <w:jc w:val="both"/>
                        <w:rPr/>
                      </w:pPr>
                      <w:r>
                        <w:rPr/>
                      </w:r>
                    </w:p>
                  </w:txbxContent>
                </v:textbox>
                <w10:wrap type="none"/>
              </v:rect>
            </w:pict>
          </mc:Fallback>
        </mc:AlternateContent>
      </w:r>
    </w:p>
    <w:p>
      <w:pPr>
        <w:pStyle w:val="TextBody"/>
        <w:bidi w:val="0"/>
        <w:spacing w:lineRule="auto" w:line="288" w:before="0" w:after="240"/>
        <w:jc w:val="center"/>
        <w:rPr/>
      </w:pPr>
      <w:r>
        <w:rPr>
          <w:rFonts w:ascii="Times New Roman;serif" w:hAnsi="Times New Roman;serif"/>
          <w:b/>
          <w:color w:val="000000"/>
          <w:sz w:val="20"/>
        </w:rPr>
        <w:t xml:space="preserve">SOTERA HEALTH COMPANY </w:t>
        <w:br/>
        <w:br/>
        <w:t>2020 OMNIBUS INCENTIVE PLAN</w:t>
        <w:br/>
        <w:br/>
      </w:r>
      <w:r>
        <w:rPr>
          <w:rFonts w:ascii="Times New Roman;serif" w:hAnsi="Times New Roman;serif"/>
          <w:b/>
          <w:color w:val="000000"/>
          <w:sz w:val="20"/>
          <w:u w:val="single"/>
        </w:rPr>
        <w:t>PERFORMANCE SHARE UNIT AGREEMENT</w:t>
      </w:r>
    </w:p>
    <w:p>
      <w:pPr>
        <w:pStyle w:val="TextBody"/>
        <w:bidi w:val="0"/>
        <w:spacing w:lineRule="auto" w:line="288" w:before="0" w:after="240"/>
        <w:ind w:left="0" w:right="0" w:firstLine="720"/>
        <w:jc w:val="both"/>
        <w:rPr/>
      </w:pPr>
      <w:r>
        <w:rPr>
          <w:rFonts w:ascii="Times New Roman;serif" w:hAnsi="Times New Roman;serif"/>
          <w:b w:val="false"/>
          <w:color w:val="000000"/>
          <w:sz w:val="20"/>
        </w:rPr>
        <w:t>Pursuant to your Performance Share Unit Grant Notice (the “</w:t>
      </w:r>
      <w:r>
        <w:rPr>
          <w:rFonts w:ascii="Times New Roman;serif" w:hAnsi="Times New Roman;serif"/>
          <w:b w:val="false"/>
          <w:color w:val="000000"/>
          <w:sz w:val="20"/>
          <w:u w:val="single"/>
        </w:rPr>
        <w:t>Grant Notice</w:t>
      </w:r>
      <w:r>
        <w:rPr>
          <w:color w:val="000000"/>
        </w:rPr>
        <w:t>”</w:t>
      </w:r>
      <w:r>
        <w:rPr>
          <w:rFonts w:ascii="Times New Roman;serif" w:hAnsi="Times New Roman;serif"/>
          <w:b w:val="false"/>
          <w:color w:val="000000"/>
          <w:sz w:val="20"/>
        </w:rPr>
        <w:t>) and this Performance Share Unit Agreement (the “</w:t>
      </w:r>
      <w:r>
        <w:rPr>
          <w:rFonts w:ascii="Times New Roman;serif" w:hAnsi="Times New Roman;serif"/>
          <w:b w:val="false"/>
          <w:color w:val="000000"/>
          <w:sz w:val="20"/>
          <w:u w:val="single"/>
        </w:rPr>
        <w:t>Agreement</w:t>
      </w:r>
      <w:r>
        <w:rPr>
          <w:color w:val="000000"/>
        </w:rPr>
        <w:t>”</w:t>
      </w:r>
      <w:r>
        <w:rPr>
          <w:rFonts w:ascii="Times New Roman;serif" w:hAnsi="Times New Roman;serif"/>
          <w:b w:val="false"/>
          <w:color w:val="000000"/>
          <w:sz w:val="20"/>
        </w:rPr>
        <w:t>), Sotera Health Company, a Delaware corporation (the “</w:t>
      </w:r>
      <w:r>
        <w:rPr>
          <w:rFonts w:ascii="Times New Roman;serif" w:hAnsi="Times New Roman;serif"/>
          <w:b w:val="false"/>
          <w:color w:val="000000"/>
          <w:sz w:val="20"/>
          <w:u w:val="single"/>
        </w:rPr>
        <w:t>Company</w:t>
      </w:r>
      <w:r>
        <w:rPr>
          <w:color w:val="000000"/>
        </w:rPr>
        <w:t>”</w:t>
      </w:r>
      <w:r>
        <w:rPr>
          <w:rFonts w:ascii="Times New Roman;serif" w:hAnsi="Times New Roman;serif"/>
          <w:b w:val="false"/>
          <w:color w:val="000000"/>
          <w:sz w:val="20"/>
        </w:rPr>
        <w:t>), has granted you (the “</w:t>
      </w:r>
      <w:r>
        <w:rPr>
          <w:rFonts w:ascii="Times New Roman;serif" w:hAnsi="Times New Roman;serif"/>
          <w:b w:val="false"/>
          <w:color w:val="000000"/>
          <w:sz w:val="20"/>
          <w:u w:val="single"/>
        </w:rPr>
        <w:t>Participant</w:t>
      </w:r>
      <w:r>
        <w:rPr>
          <w:color w:val="000000"/>
        </w:rPr>
        <w:t>”</w:t>
      </w:r>
      <w:r>
        <w:rPr>
          <w:rFonts w:ascii="Times New Roman;serif" w:hAnsi="Times New Roman;serif"/>
          <w:b w:val="false"/>
          <w:color w:val="000000"/>
          <w:sz w:val="20"/>
        </w:rPr>
        <w:t>), as of the Date of Grant set forth in the Grant Notice, a performance-based Restricted Stock Unit award (also referred to as a “Performance Share Unit” award) covering the number of units set forth in your Grant Notice, each of which represents one Share of the Company’s Common Stock (the “</w:t>
      </w:r>
      <w:r>
        <w:rPr>
          <w:rFonts w:ascii="Times New Roman;serif" w:hAnsi="Times New Roman;serif"/>
          <w:b w:val="false"/>
          <w:color w:val="000000"/>
          <w:sz w:val="20"/>
          <w:u w:val="single"/>
        </w:rPr>
        <w:t>PSUs</w:t>
      </w:r>
      <w:r>
        <w:rPr>
          <w:color w:val="000000"/>
        </w:rPr>
        <w:t>”</w:t>
      </w:r>
      <w:r>
        <w:rPr>
          <w:rFonts w:ascii="Times New Roman;serif" w:hAnsi="Times New Roman;serif"/>
          <w:b w:val="false"/>
          <w:color w:val="000000"/>
          <w:sz w:val="20"/>
        </w:rPr>
        <w:t>) pursuant to the Company’s 2020 Omnibus Incentive Plan and any applicable sub-plan for a particular country (together, the “</w:t>
      </w:r>
      <w:r>
        <w:rPr>
          <w:rFonts w:ascii="Times New Roman;serif" w:hAnsi="Times New Roman;serif"/>
          <w:b w:val="false"/>
          <w:color w:val="000000"/>
          <w:sz w:val="20"/>
          <w:u w:val="single"/>
        </w:rPr>
        <w:t>Plan</w:t>
      </w:r>
      <w:r>
        <w:rPr>
          <w:color w:val="000000"/>
        </w:rPr>
        <w:t>”</w:t>
      </w:r>
      <w:r>
        <w:rPr>
          <w:rFonts w:ascii="Times New Roman;serif" w:hAnsi="Times New Roman;serif"/>
          <w:b w:val="false"/>
          <w:color w:val="000000"/>
          <w:sz w:val="20"/>
        </w:rPr>
        <w:t>). Capitalized terms not explicitly defined in this Agreement but defined in the Plan or in the Grant Notice shall have the meaning ascribed to them in the Plan or in the Grant Notice. In the event of any conflict between the terms of this Agreement and the Plan, the terms of the Plan will control.</w:t>
      </w:r>
    </w:p>
    <w:p>
      <w:pPr>
        <w:pStyle w:val="TextBody"/>
        <w:bidi w:val="0"/>
        <w:spacing w:lineRule="auto" w:line="290" w:before="0" w:after="240"/>
        <w:ind w:left="0" w:right="0" w:firstLine="720"/>
        <w:jc w:val="both"/>
        <w:rPr/>
      </w:pPr>
      <w:r>
        <w:rPr>
          <w:rFonts w:ascii="Times New Roman;serif" w:hAnsi="Times New Roman;serif"/>
          <w:b w:val="false"/>
          <w:color w:val="000000"/>
          <w:sz w:val="22"/>
        </w:rPr>
        <w:t>1.</w:t>
      </w:r>
      <w:r>
        <w:rPr>
          <w:rFonts w:ascii="Times New Roman;serif" w:hAnsi="Times New Roman;serif"/>
          <w:b/>
          <w:color w:val="000000"/>
          <w:sz w:val="20"/>
          <w:u w:val="single"/>
        </w:rPr>
        <w:t>No Stockholder Rights</w:t>
      </w:r>
      <w:r>
        <w:rPr>
          <w:rFonts w:ascii="Times New Roman;serif" w:hAnsi="Times New Roman;serif"/>
          <w:b w:val="false"/>
          <w:color w:val="000000"/>
          <w:sz w:val="20"/>
        </w:rPr>
        <w:t>. Unless and until such time as Shares are issued pursuant to the Agreement in settlement of vested PSUs, Participant shall have no ownership of the Shares allocated to the PSUs, including, without limitation, no right to dividends (or dividend equivalents) or to vote such Shares.</w:t>
      </w:r>
    </w:p>
    <w:p>
      <w:pPr>
        <w:pStyle w:val="TextBody"/>
        <w:bidi w:val="0"/>
        <w:spacing w:lineRule="auto" w:line="290" w:before="0" w:after="240"/>
        <w:ind w:left="0" w:right="0" w:firstLine="720"/>
        <w:jc w:val="both"/>
        <w:rPr/>
      </w:pPr>
      <w:r>
        <w:rPr>
          <w:rFonts w:ascii="Times New Roman;serif" w:hAnsi="Times New Roman;serif"/>
          <w:b w:val="false"/>
          <w:color w:val="000000"/>
          <w:sz w:val="22"/>
        </w:rPr>
        <w:t>2.</w:t>
      </w:r>
      <w:r>
        <w:rPr>
          <w:rFonts w:ascii="Times New Roman;serif" w:hAnsi="Times New Roman;serif"/>
          <w:b/>
          <w:color w:val="000000"/>
          <w:sz w:val="20"/>
          <w:u w:val="single"/>
        </w:rPr>
        <w:t>Termination</w:t>
      </w:r>
      <w:r>
        <w:rPr>
          <w:rFonts w:ascii="Times New Roman;serif" w:hAnsi="Times New Roman;serif"/>
          <w:b w:val="false"/>
          <w:color w:val="000000"/>
          <w:sz w:val="20"/>
        </w:rPr>
        <w:t>. Except as otherwise provided in the Plan or Grant Notice, if Participant’s Continuous Service Status terminates at any time for any reason (including death or Disability), all PSUs for which vesting is no longer possible under the terms of the Grant Notice and this Agreement shall be forfeited to the Company on the date of such termination of Continuous Service Status, and all rights of Participant to such PSUs shall immediately terminate at such time. Subject to Applicable Law, in the event Participant’s Continuous Service Status is terminated by the Participant’s employer (together with the Participant’s former employer (if applicable), the “</w:t>
      </w:r>
      <w:r>
        <w:rPr>
          <w:rFonts w:ascii="Times New Roman;serif" w:hAnsi="Times New Roman;serif"/>
          <w:b w:val="false"/>
          <w:color w:val="000000"/>
          <w:sz w:val="20"/>
          <w:u w:val="single"/>
        </w:rPr>
        <w:t>Employer</w:t>
      </w:r>
      <w:r>
        <w:rPr>
          <w:color w:val="000000"/>
        </w:rPr>
        <w:t>”</w:t>
      </w:r>
      <w:r>
        <w:rPr>
          <w:rFonts w:ascii="Times New Roman;serif" w:hAnsi="Times New Roman;serif"/>
          <w:b w:val="false"/>
          <w:color w:val="000000"/>
          <w:sz w:val="20"/>
        </w:rPr>
        <w:t>) for Cause, then Participant’s vested but unsettled PSUs will also be forfeited upon the date of such termination, and Participant will have no further rights or interests with respect to such vested PSUs. Further, unless otherwise approved by the Company, Participant’s right to vest in the PSUs will terminate as of such date and will not be extended by any contractual notice period or any period of “garden leave” or similar notice period mandated under employment laws in the jurisdiction where Participant is employed or the terms of Participant’s employment agreement, if any. To the extent permitted by Section 409A of the Code, if Participant ceases to be an Employee but continues, or simultaneously commences, services as a Non-Employee Director, Participant shall be deemed to have had a termination of Continuous Service Status for purposes of this Agreement.</w:t>
      </w:r>
    </w:p>
    <w:p>
      <w:pPr>
        <w:pStyle w:val="TextBody"/>
        <w:bidi w:val="0"/>
        <w:spacing w:lineRule="auto" w:line="290" w:before="0" w:after="240"/>
        <w:ind w:left="0" w:right="0" w:firstLine="720"/>
        <w:jc w:val="both"/>
        <w:rPr/>
      </w:pPr>
      <w:r>
        <w:rPr>
          <w:rFonts w:ascii="Times New Roman;serif" w:hAnsi="Times New Roman;serif"/>
          <w:b w:val="false"/>
          <w:color w:val="000000"/>
          <w:sz w:val="22"/>
        </w:rPr>
        <w:t>3.</w:t>
      </w:r>
      <w:r>
        <w:rPr>
          <w:rFonts w:ascii="Times New Roman;serif" w:hAnsi="Times New Roman;serif"/>
          <w:b/>
          <w:color w:val="000000"/>
          <w:sz w:val="20"/>
          <w:u w:val="single"/>
        </w:rPr>
        <w:t>Responsibility for Taxes</w:t>
      </w:r>
      <w:r>
        <w:rPr>
          <w:rFonts w:ascii="Times New Roman;serif" w:hAnsi="Times New Roman;serif"/>
          <w:b w:val="false"/>
          <w:color w:val="000000"/>
          <w:sz w:val="20"/>
        </w:rPr>
        <w:t>. As a condition to the grant, vesting, and settlement of the PSUs, Participant acknowledges that, regardless of any action taken by the Company or, if different, the Employer, the ultimate liability for all income tax, social security contributions (including employer’s social security contributions to the extent such amounts may be lawfully recovered from or borne by the Participant), social insurance, payroll tax, fringe benefits tax, payment on account or other tax-related items (or any equivalent or similar taxes, contributions or other relevant tax-related items in any relevant jurisdiction) or required deductions, withholdings or payments legally applicable to him or her and related to the receipt, vesting or settlement of the PSUs, the issuance, holding or subsequent sale of the Shares allocated to the PSUs, or the participation in the Plan (“</w:t>
      </w:r>
      <w:r>
        <w:rPr>
          <w:rFonts w:ascii="Times New Roman;serif" w:hAnsi="Times New Roman;serif"/>
          <w:b w:val="false"/>
          <w:color w:val="000000"/>
          <w:sz w:val="20"/>
          <w:u w:val="single"/>
        </w:rPr>
        <w:t>Tax-Related Items</w:t>
      </w:r>
      <w:r>
        <w:rPr>
          <w:color w:val="000000"/>
        </w:rPr>
        <w:t>”</w:t>
      </w:r>
      <w:r>
        <w:rPr>
          <w:rFonts w:ascii="Times New Roman;serif" w:hAnsi="Times New Roman;serif"/>
          <w:b w:val="false"/>
          <w:color w:val="000000"/>
          <w:sz w:val="20"/>
        </w:rPr>
        <w:t>) is and remains Participant’s responsibility and may exceed the amount actually withheld by the Company or the Employer. Participant further acknowledges and agrees that Participant is solely responsible for filing all relevant documentation that may be required in relation to the PSUs or any Tax-Related Items (other than filings or documentation that is the specific obligation of the Company, its Parent, Subsidiaries or Affiliates (the “</w:t>
      </w:r>
      <w:r>
        <w:rPr>
          <w:rFonts w:ascii="Times New Roman;serif" w:hAnsi="Times New Roman;serif"/>
          <w:b w:val="false"/>
          <w:color w:val="000000"/>
          <w:sz w:val="20"/>
          <w:u w:val="single"/>
        </w:rPr>
        <w:t>Company Group</w:t>
      </w:r>
      <w:r>
        <w:rPr>
          <w:color w:val="000000"/>
        </w:rPr>
        <w:t>”</w:t>
      </w:r>
      <w:r>
        <w:rPr>
          <w:rFonts w:ascii="Times New Roman;serif" w:hAnsi="Times New Roman;serif"/>
          <w:b w:val="false"/>
          <w:color w:val="000000"/>
          <w:sz w:val="20"/>
        </w:rPr>
        <w:t xml:space="preserve">) pursuant to Applicable Laws), such as, but not limited to, personal income tax returns or reporting </w:t>
      </w:r>
    </w:p>
    <w:p>
      <w:pPr>
        <w:pStyle w:val="TextBody"/>
        <w:bidi w:val="0"/>
        <w:spacing w:before="0" w:after="0"/>
        <w:ind w:left="0" w:right="0" w:firstLine="720"/>
        <w:jc w:val="right"/>
        <w:rPr/>
      </w:pPr>
      <w:r>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480175" cy="455295"/>
                <wp:effectExtent l="0" t="0" r="0" b="0"/>
                <wp:wrapNone/>
                <wp:docPr id="183" name="Frame181"/>
                <a:graphic xmlns:a="http://schemas.openxmlformats.org/drawingml/2006/main">
                  <a:graphicData uri="http://schemas.microsoft.com/office/word/2010/wordprocessingShape">
                    <wps:wsp>
                      <wps:cNvSpPr txBox="1"/>
                      <wps:spPr>
                        <a:xfrm>
                          <a:off x="0" y="0"/>
                          <a:ext cx="6480175" cy="455295"/>
                        </a:xfrm>
                        <a:prstGeom prst="rect"/>
                        <a:solidFill>
                          <a:srgbClr val="FFFFFF"/>
                        </a:solidFill>
                      </wps:spPr>
                      <wps:txbx>
                        <w:txbxContent>
                          <w:p>
                            <w:pPr>
                              <w:pStyle w:val="TextBody"/>
                              <w:bidi w:val="0"/>
                              <w:spacing w:lineRule="auto" w:line="292" w:before="0" w:after="16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p>
                            <w:pPr>
                              <w:pStyle w:val="TextBody"/>
                              <w:bidi w:val="0"/>
                              <w:spacing w:before="0" w:after="16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8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92" w:before="0" w:after="160"/>
                        <w:jc w:val="center"/>
                        <w:rPr>
                          <w:rFonts w:ascii="Times New Roman;serif" w:hAnsi="Times New Roman;serif"/>
                          <w:b w:val="false"/>
                          <w:color w:val="000000"/>
                          <w:sz w:val="20"/>
                        </w:rPr>
                      </w:pPr>
                      <w:r>
                        <w:rPr>
                          <w:rFonts w:ascii="Times New Roman;serif" w:hAnsi="Times New Roman;serif"/>
                          <w:b w:val="false"/>
                          <w:color w:val="000000"/>
                          <w:sz w:val="20"/>
                        </w:rPr>
                        <w:t>1</w:t>
                      </w:r>
                    </w:p>
                    <w:p>
                      <w:pPr>
                        <w:pStyle w:val="TextBody"/>
                        <w:bidi w:val="0"/>
                        <w:spacing w:before="0" w:after="160"/>
                        <w:jc w:val="both"/>
                        <w:rPr/>
                      </w:pPr>
                      <w:r>
                        <w:rPr/>
                      </w:r>
                    </w:p>
                  </w:txbxContent>
                </v:textbox>
                <w10:wrap type="none"/>
              </v:rect>
            </w:pict>
          </mc:Fallback>
        </mc:AlternateContent>
      </w:r>
    </w:p>
    <w:p>
      <w:pPr>
        <w:pStyle w:val="TextBody"/>
        <w:bidi w:val="0"/>
        <w:spacing w:lineRule="auto" w:line="290" w:before="0" w:after="240"/>
        <w:jc w:val="both"/>
        <w:rPr>
          <w:rFonts w:ascii="Times New Roman;serif" w:hAnsi="Times New Roman;serif"/>
          <w:b w:val="false"/>
          <w:color w:val="000000"/>
          <w:sz w:val="20"/>
        </w:rPr>
      </w:pPr>
      <w:r>
        <w:rPr>
          <w:rFonts w:ascii="Times New Roman;serif" w:hAnsi="Times New Roman;serif"/>
          <w:b w:val="false"/>
          <w:color w:val="000000"/>
          <w:sz w:val="20"/>
        </w:rPr>
        <w:t>statements in relation to the receipt, vesting or settlement of the PSUs, the issuance of the Shares allocated to the PSUs, the holding of Shares or any bank or brokerage account, the subsequent sale of Shares, and the receipt of any dividends.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Participant further acknowledges that the Company and/or the Employer: (i) make no representations or undertakings regarding the treatment of any Tax-Related Items in connection with any aspect of the PSUs, including, but not limited to, the receipt, vesting or settlement of the PSUs, the issuance, holding or subsequent sale of the Shares allocated to the PSUs and the receipt of any dividends; and (ii) do not commit to and are under no obligation to structure the terms of the grant or any aspect of the PSUs to reduce or eliminate Participant’s liability for Tax- Related Items or achieve any particular tax result. Participant also understands that Applicable Laws may require varying PSU or Share valuation methods for purposes of calculating Tax- Related Items, and the Company assumes no responsibility or liability in relation to any such valuation or for any calculation or reporting of income or Tax- Related Items that may be required of Participant under Applicable Laws.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By entering into this Agreement, Participant agrees to indemnify the Company, the Employer and any relevant Parent, Subsidiary or Affiliate, against all and any liability for any taxes or Tax-Related Items which may arise in respect of or in connection with the PSUs (or, for the avoidance of doubt, any PSUs granted or provided to Participant by way of rollover, assumption or replacement of the PSUs) or the Shares (or, for the avoidance of doubt, other shares or securities) issued or transferred pursuant to the vesting of the PSUs (or, for the avoidance of doubt, any PSUs granted or provided to Participant by way of rollover, assumption or replacement of the PSUs).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Further, if Participant is subject to Tax-Related Items in more than one jurisdiction between the Date of Grant and the date of any relevant taxable or tax withholding event, as applicable, Participant acknowledges that the Company and/or the Employer (or former employer, as applicable) may be required to withhold or account for Tax- Related Items in more than one jurisdiction.</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Prior to the relevant taxable or tax withholding event, as applicable, Participant agrees to make adequate arrangements satisfactory to the Company and/or the Employer to satisfy all Tax- Related Items. In this regard, pursuant to this Agreement and subject to the Grant Notice and Applicable Laws, unless otherwise determined by the Committee, Participant authorizes the Company and/or the Employer, or their respective agents, at their discretion, to satisfy Participant’s Tax Withholding Obligations by (i) withholding or deducting from Participant’s wages or other compensation paid to Participant by the Company or the Employer, (ii) withholding from proceeds of the sale of Shares acquired pursuant to the PSUs either through a voluntary sale or through a mandatory sale arranged by the Company (on Participant’s behalf pursuant to this authorization) without further consent, (iii) withholding Shares that would otherwise be issued upon settlement of the PSUs or (iv) such other method as determined by the Company.</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Depending on the method of satisfying the Tax Withholding Obligations, the Company and/or the Employer may pay, withhold or account for such Tax Withholding Obligations by considering applicable minimum statutory withholding amounts or other applicable tax or withholding rates, including maximum applicable rates, in which case Participant will (depending on the laws of the relevant jurisdiction) receive a refund of any over-withheld or over- paid amount in cash or otherwise be able to claim relief in respect of any such over- withheld or over-paid amount, and will in any event have no entitlement to the Share equivalent.</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Participant agrees to pay to the Company or the Employer any amount of Tax Withholding Obligations that the Company or the Employer may be required to pay, withhold or account for as a result of Participant’s receipt, vesting or settlement of the PSUs, the issuance or holding of the Shares allocated to the PSUs or the participation in the Plan that cannot be satisfied by the means previously described. The Company may refuse to issue or deliver the Shares or the proceeds of the sale of Shares if Participant fails to comply with his or her obligations in connection with the Tax Withholding Obligations.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Participant understands that Participant may suffer adverse tax consequences as a result of Participant’s receipt of the PSUs, the vesting and/or settlement of the PSUs, the issuance or holding of Shares allocated to the PSUs and/or the disposition of such Shares. Participant represents that Participant has consulted any tax consultants Participant deems advisable in connection with the receipt of the PSUs, the vesting and/or settlement of the PSUs, the issuance or holding of Shares allocated to the PSUs and/or the disposition of such Shares and that Participant is not relying on the Company (or the Employer) for any tax advice.</w:t>
      </w:r>
    </w:p>
    <w:p>
      <w:pPr>
        <w:pStyle w:val="TextBody"/>
        <w:bidi w:val="0"/>
        <w:spacing w:before="0" w:after="0"/>
        <w:ind w:left="0" w:right="0" w:firstLine="720"/>
        <w:jc w:val="right"/>
        <w:rPr/>
      </w:pPr>
      <w:r>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480175" cy="455295"/>
                <wp:effectExtent l="0" t="0" r="0" b="0"/>
                <wp:wrapNone/>
                <wp:docPr id="184" name="Frame182"/>
                <a:graphic xmlns:a="http://schemas.openxmlformats.org/drawingml/2006/main">
                  <a:graphicData uri="http://schemas.microsoft.com/office/word/2010/wordprocessingShape">
                    <wps:wsp>
                      <wps:cNvSpPr txBox="1"/>
                      <wps:spPr>
                        <a:xfrm>
                          <a:off x="0" y="0"/>
                          <a:ext cx="6480175" cy="455295"/>
                        </a:xfrm>
                        <a:prstGeom prst="rect"/>
                        <a:solidFill>
                          <a:srgbClr val="FFFFFF"/>
                        </a:solidFill>
                      </wps:spPr>
                      <wps:txbx>
                        <w:txbxContent>
                          <w:p>
                            <w:pPr>
                              <w:pStyle w:val="TextBody"/>
                              <w:bidi w:val="0"/>
                              <w:spacing w:lineRule="auto" w:line="292" w:before="0" w:after="16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p>
                            <w:pPr>
                              <w:pStyle w:val="TextBody"/>
                              <w:bidi w:val="0"/>
                              <w:spacing w:before="0" w:after="16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8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92" w:before="0" w:after="160"/>
                        <w:jc w:val="center"/>
                        <w:rPr>
                          <w:rFonts w:ascii="Times New Roman;serif" w:hAnsi="Times New Roman;serif"/>
                          <w:b w:val="false"/>
                          <w:color w:val="000000"/>
                          <w:sz w:val="20"/>
                        </w:rPr>
                      </w:pPr>
                      <w:r>
                        <w:rPr>
                          <w:rFonts w:ascii="Times New Roman;serif" w:hAnsi="Times New Roman;serif"/>
                          <w:b w:val="false"/>
                          <w:color w:val="000000"/>
                          <w:sz w:val="20"/>
                        </w:rPr>
                        <w:t>2</w:t>
                      </w:r>
                    </w:p>
                    <w:p>
                      <w:pPr>
                        <w:pStyle w:val="TextBody"/>
                        <w:bidi w:val="0"/>
                        <w:spacing w:before="0" w:after="160"/>
                        <w:jc w:val="both"/>
                        <w:rPr/>
                      </w:pPr>
                      <w:r>
                        <w:rPr/>
                      </w:r>
                    </w:p>
                  </w:txbxContent>
                </v:textbox>
                <w10:wrap type="none"/>
              </v:rect>
            </w:pict>
          </mc:Fallback>
        </mc:AlternateContent>
      </w:r>
    </w:p>
    <w:p>
      <w:pPr>
        <w:pStyle w:val="TextBody"/>
        <w:bidi w:val="0"/>
        <w:spacing w:lineRule="auto" w:line="290" w:before="0" w:after="240"/>
        <w:ind w:left="0" w:right="0" w:firstLine="720"/>
        <w:jc w:val="both"/>
        <w:rPr/>
      </w:pPr>
      <w:r>
        <w:rPr>
          <w:rFonts w:ascii="Times New Roman;serif" w:hAnsi="Times New Roman;serif"/>
          <w:b w:val="false"/>
          <w:color w:val="000000"/>
          <w:sz w:val="22"/>
        </w:rPr>
        <w:t>4.</w:t>
      </w:r>
      <w:r>
        <w:rPr>
          <w:rFonts w:ascii="Times New Roman;serif" w:hAnsi="Times New Roman;serif"/>
          <w:b/>
          <w:color w:val="000000"/>
          <w:sz w:val="20"/>
          <w:u w:val="single"/>
        </w:rPr>
        <w:t>Nature of Grant</w:t>
      </w:r>
      <w:r>
        <w:rPr>
          <w:rFonts w:ascii="Times New Roman;serif" w:hAnsi="Times New Roman;serif"/>
          <w:b/>
          <w:color w:val="000000"/>
          <w:sz w:val="20"/>
        </w:rPr>
        <w:t xml:space="preserve">. </w:t>
      </w:r>
      <w:r>
        <w:rPr>
          <w:rFonts w:ascii="Times New Roman;serif" w:hAnsi="Times New Roman;serif"/>
          <w:b w:val="false"/>
          <w:color w:val="000000"/>
          <w:sz w:val="20"/>
        </w:rPr>
        <w:t>In accepting the PSUs, Participant acknowledges, understands and agrees that:</w:t>
      </w:r>
    </w:p>
    <w:p>
      <w:pPr>
        <w:pStyle w:val="TextBody"/>
        <w:bidi w:val="0"/>
        <w:spacing w:lineRule="auto" w:line="290"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0"/>
        </w:rPr>
        <w:t>the Plan is established voluntarily by the Company, is discretionary in nature, and may be amended, suspended or terminated by the Company at any time, to the extent permitted by the Plan;</w:t>
      </w:r>
    </w:p>
    <w:p>
      <w:pPr>
        <w:pStyle w:val="TextBody"/>
        <w:bidi w:val="0"/>
        <w:spacing w:lineRule="auto" w:line="290"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0"/>
        </w:rPr>
        <w:t>the grant of the PSUs is voluntary and occasional and does not create any contractual or other right to receive future grants of performance-based Restricted Stock Units, or benefits in lieu of performance-based Restricted Stock Units, even if performance-based Restricted Stock Units have been granted in the past;</w:t>
      </w:r>
    </w:p>
    <w:p>
      <w:pPr>
        <w:pStyle w:val="TextBody"/>
        <w:bidi w:val="0"/>
        <w:spacing w:lineRule="auto" w:line="290" w:before="0" w:after="240"/>
        <w:ind w:left="0" w:right="0" w:firstLine="720"/>
        <w:jc w:val="both"/>
        <w:rPr/>
      </w:pPr>
      <w:r>
        <w:rPr>
          <w:rFonts w:ascii="Times New Roman;serif" w:hAnsi="Times New Roman;serif"/>
          <w:b w:val="false"/>
          <w:color w:val="000000"/>
          <w:sz w:val="22"/>
        </w:rPr>
        <w:t>(c)</w:t>
      </w:r>
      <w:r>
        <w:rPr>
          <w:rFonts w:ascii="Times New Roman;serif" w:hAnsi="Times New Roman;serif"/>
          <w:b w:val="false"/>
          <w:color w:val="000000"/>
          <w:sz w:val="20"/>
        </w:rPr>
        <w:t>all decisions with respect to future performance-based Restricted Stock Units or other grants, if any, will be at the sole discretion of the Company;</w:t>
      </w:r>
    </w:p>
    <w:p>
      <w:pPr>
        <w:pStyle w:val="TextBody"/>
        <w:bidi w:val="0"/>
        <w:spacing w:lineRule="auto" w:line="290" w:before="0" w:after="240"/>
        <w:ind w:left="0" w:right="0" w:firstLine="720"/>
        <w:jc w:val="both"/>
        <w:rPr/>
      </w:pPr>
      <w:r>
        <w:rPr>
          <w:rFonts w:ascii="Times New Roman;serif" w:hAnsi="Times New Roman;serif"/>
          <w:b w:val="false"/>
          <w:color w:val="000000"/>
          <w:sz w:val="22"/>
        </w:rPr>
        <w:t>(d)</w:t>
      </w:r>
      <w:r>
        <w:rPr>
          <w:rFonts w:ascii="Times New Roman;serif" w:hAnsi="Times New Roman;serif"/>
          <w:b w:val="false"/>
          <w:color w:val="000000"/>
          <w:sz w:val="20"/>
        </w:rPr>
        <w:t>Participant is voluntarily participating in the Plan;</w:t>
      </w:r>
    </w:p>
    <w:p>
      <w:pPr>
        <w:pStyle w:val="TextBody"/>
        <w:bidi w:val="0"/>
        <w:spacing w:lineRule="auto" w:line="290" w:before="0" w:after="240"/>
        <w:ind w:left="0" w:right="0" w:firstLine="720"/>
        <w:jc w:val="both"/>
        <w:rPr/>
      </w:pPr>
      <w:r>
        <w:rPr>
          <w:rFonts w:ascii="Times New Roman;serif" w:hAnsi="Times New Roman;serif"/>
          <w:b w:val="false"/>
          <w:color w:val="000000"/>
          <w:sz w:val="22"/>
        </w:rPr>
        <w:t>(e)</w:t>
      </w:r>
      <w:r>
        <w:rPr>
          <w:rFonts w:ascii="Times New Roman;serif" w:hAnsi="Times New Roman;serif"/>
          <w:b w:val="false"/>
          <w:color w:val="000000"/>
          <w:sz w:val="20"/>
        </w:rPr>
        <w:t>the PSUs and the Shares allocated to the PSUs are not intended to replace any pension rights or compensation and are outside the scope of Participant’s employment contract, if any;</w:t>
      </w:r>
    </w:p>
    <w:p>
      <w:pPr>
        <w:pStyle w:val="TextBody"/>
        <w:bidi w:val="0"/>
        <w:spacing w:lineRule="auto" w:line="290" w:before="0" w:after="240"/>
        <w:ind w:left="0" w:right="0" w:firstLine="720"/>
        <w:jc w:val="both"/>
        <w:rPr/>
      </w:pPr>
      <w:r>
        <w:rPr>
          <w:rFonts w:ascii="Times New Roman;serif" w:hAnsi="Times New Roman;serif"/>
          <w:b w:val="false"/>
          <w:color w:val="000000"/>
          <w:sz w:val="22"/>
        </w:rPr>
        <w:t>(f)</w:t>
      </w:r>
      <w:r>
        <w:rPr>
          <w:rFonts w:ascii="Times New Roman;serif" w:hAnsi="Times New Roman;serif"/>
          <w:b w:val="false"/>
          <w:color w:val="000000"/>
          <w:sz w:val="20"/>
        </w:rPr>
        <w:t>the PSUs and the Shares allocated to the PSUs, and the income and value of same, are not part of normal or expected compensation for any purpose, including, without limitation, calculating any severance, resignation, termination, redundancy, dismissal, end-of- service payments, bonuses, long-service awards, pension or retirement or welfare benefits or similar payments;</w:t>
      </w:r>
    </w:p>
    <w:p>
      <w:pPr>
        <w:pStyle w:val="TextBody"/>
        <w:bidi w:val="0"/>
        <w:spacing w:lineRule="auto" w:line="290" w:before="0" w:after="240"/>
        <w:ind w:left="0" w:right="0" w:firstLine="720"/>
        <w:jc w:val="both"/>
        <w:rPr/>
      </w:pPr>
      <w:r>
        <w:rPr>
          <w:rFonts w:ascii="Times New Roman;serif" w:hAnsi="Times New Roman;serif"/>
          <w:b w:val="false"/>
          <w:color w:val="000000"/>
          <w:sz w:val="22"/>
        </w:rPr>
        <w:t>(g)</w:t>
      </w:r>
      <w:r>
        <w:rPr>
          <w:rFonts w:ascii="Times New Roman;serif" w:hAnsi="Times New Roman;serif"/>
          <w:b w:val="false"/>
          <w:color w:val="000000"/>
          <w:sz w:val="20"/>
        </w:rPr>
        <w:t>unless otherwise provided in the Plan or by the Company in its discretion, the PSUs and the benefits evidenced by this Agreement do not create any entitlement to have the PSUs or any such benefits transferred to, or assumed by, another company nor to be exchanged, cashed out or substituted for, in connection with any corporate transaction affecting the Shares; and</w:t>
      </w:r>
    </w:p>
    <w:p>
      <w:pPr>
        <w:pStyle w:val="TextBody"/>
        <w:bidi w:val="0"/>
        <w:spacing w:lineRule="auto" w:line="290" w:before="0" w:after="240"/>
        <w:ind w:left="0" w:right="0" w:firstLine="720"/>
        <w:jc w:val="both"/>
        <w:rPr/>
      </w:pPr>
      <w:r>
        <w:rPr>
          <w:rFonts w:ascii="Times New Roman;serif" w:hAnsi="Times New Roman;serif"/>
          <w:b w:val="false"/>
          <w:color w:val="000000"/>
          <w:sz w:val="22"/>
        </w:rPr>
        <w:t>(h)</w:t>
      </w:r>
      <w:r>
        <w:rPr>
          <w:rFonts w:ascii="Times New Roman;serif" w:hAnsi="Times New Roman;serif"/>
          <w:b w:val="false"/>
          <w:color w:val="000000"/>
          <w:sz w:val="20"/>
        </w:rPr>
        <w:t>no entity in the Company Group shall be liable for any foreign exchange rate fluctuation between Participant’s local currency and the United States Dollar or the selection by the Company or any member of the Company Group in its sole discretion of an applicable foreign exchange rate that may affect the value of the PSUs (or the calculation of income or Tax-Related Items thereunder) or of any amounts due to Participant pursuant to the settlement of the PSUs or the subsequent sale of the Shares allocated to the PSUs.</w:t>
      </w:r>
    </w:p>
    <w:p>
      <w:pPr>
        <w:pStyle w:val="TextBody"/>
        <w:bidi w:val="0"/>
        <w:spacing w:lineRule="auto" w:line="290" w:before="0" w:after="240"/>
        <w:ind w:left="0" w:right="0" w:firstLine="720"/>
        <w:jc w:val="both"/>
        <w:rPr/>
      </w:pPr>
      <w:r>
        <w:rPr>
          <w:rFonts w:ascii="Times New Roman;serif" w:hAnsi="Times New Roman;serif"/>
          <w:b w:val="false"/>
          <w:color w:val="000000"/>
          <w:sz w:val="22"/>
        </w:rPr>
        <w:t>5.</w:t>
      </w:r>
      <w:r>
        <w:rPr>
          <w:rFonts w:ascii="Times New Roman;serif" w:hAnsi="Times New Roman;serif"/>
          <w:b/>
          <w:color w:val="000000"/>
          <w:sz w:val="20"/>
          <w:u w:val="single"/>
        </w:rPr>
        <w:t>Section 409A of the U.S. Internal Revenue Code</w:t>
      </w:r>
      <w:r>
        <w:rPr>
          <w:rFonts w:ascii="Times New Roman;serif" w:hAnsi="Times New Roman;serif"/>
          <w:b w:val="false"/>
          <w:color w:val="000000"/>
          <w:sz w:val="20"/>
        </w:rPr>
        <w:t>. All payments made and benefits provided under this Agreement are intended to be exempt from or comply with the requirements of Section 409A of the Code so that none of the payments or benefits will be subject to the adverse tax penalties imposed under Section 409A. Each tranche of PSUs that vests, or is scheduled to vest, pursuant to the Grant Notice shall be designated as a “separate payment” for purposes of Treasury Regulation Section 1.409A-2(b)(2). Notwithstanding anything in the Plan or this Agreement to the contrary, if the vesting of all or a portion of any unvested PSUs is accelerated in connection with the Participant’s termination of Continuous Service Status (provided that such termination is a “separation from service” within the meaning of Section 409A, as determined by the Company), other than due to death</w:t>
      </w:r>
      <w:r>
        <w:rPr>
          <w:rFonts w:ascii="Times New Roman;serif" w:hAnsi="Times New Roman;serif"/>
          <w:b/>
          <w:color w:val="000000"/>
          <w:sz w:val="20"/>
        </w:rPr>
        <w:t xml:space="preserve">, </w:t>
      </w:r>
      <w:r>
        <w:rPr>
          <w:rFonts w:ascii="Times New Roman;serif" w:hAnsi="Times New Roman;serif"/>
          <w:b w:val="false"/>
          <w:color w:val="000000"/>
          <w:sz w:val="20"/>
        </w:rPr>
        <w:t xml:space="preserve">and if both (a) the Participant is a “specified employee” within the meaning of Section 409A of the Code at the time of such termination of Continuous Service Status, and (b) the payment of such accelerated PSUs would result in the imposition of additional tax under Section 409A of the Code if paid to the Participant within the 6 month period following the Participant’s termination of Continuous Service Status, then the payment of such accelerated PSUs will not be made until the date that is 6 months and 1 day following the date of the Participant’s termination of Continuous Service Status, unless the Participant dies following such Participant’s termination of Continuous Service Status, in which case, the PSUs will be paid in Shares to the Participant’s estate as soon as practicable following Participant’s death. In no event will the Company reimburse Participant for any taxes or other penalties that may be imposed </w:t>
      </w:r>
    </w:p>
    <w:p>
      <w:pPr>
        <w:pStyle w:val="TextBody"/>
        <w:bidi w:val="0"/>
        <w:spacing w:before="0" w:after="0"/>
        <w:ind w:left="0" w:right="0" w:firstLine="720"/>
        <w:jc w:val="right"/>
        <w:rPr/>
      </w:pPr>
      <w:r>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480175" cy="455295"/>
                <wp:effectExtent l="0" t="0" r="0" b="0"/>
                <wp:wrapNone/>
                <wp:docPr id="185" name="Frame183"/>
                <a:graphic xmlns:a="http://schemas.openxmlformats.org/drawingml/2006/main">
                  <a:graphicData uri="http://schemas.microsoft.com/office/word/2010/wordprocessingShape">
                    <wps:wsp>
                      <wps:cNvSpPr txBox="1"/>
                      <wps:spPr>
                        <a:xfrm>
                          <a:off x="0" y="0"/>
                          <a:ext cx="6480175" cy="455295"/>
                        </a:xfrm>
                        <a:prstGeom prst="rect"/>
                        <a:solidFill>
                          <a:srgbClr val="FFFFFF"/>
                        </a:solidFill>
                      </wps:spPr>
                      <wps:txbx>
                        <w:txbxContent>
                          <w:p>
                            <w:pPr>
                              <w:pStyle w:val="TextBody"/>
                              <w:bidi w:val="0"/>
                              <w:spacing w:lineRule="auto" w:line="292" w:before="0" w:after="16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p>
                            <w:pPr>
                              <w:pStyle w:val="TextBody"/>
                              <w:bidi w:val="0"/>
                              <w:spacing w:before="0" w:after="16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8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92" w:before="0" w:after="160"/>
                        <w:jc w:val="center"/>
                        <w:rPr>
                          <w:rFonts w:ascii="Times New Roman;serif" w:hAnsi="Times New Roman;serif"/>
                          <w:b w:val="false"/>
                          <w:color w:val="000000"/>
                          <w:sz w:val="20"/>
                        </w:rPr>
                      </w:pPr>
                      <w:r>
                        <w:rPr>
                          <w:rFonts w:ascii="Times New Roman;serif" w:hAnsi="Times New Roman;serif"/>
                          <w:b w:val="false"/>
                          <w:color w:val="000000"/>
                          <w:sz w:val="20"/>
                        </w:rPr>
                        <w:t>3</w:t>
                      </w:r>
                    </w:p>
                    <w:p>
                      <w:pPr>
                        <w:pStyle w:val="TextBody"/>
                        <w:bidi w:val="0"/>
                        <w:spacing w:before="0" w:after="160"/>
                        <w:jc w:val="both"/>
                        <w:rPr/>
                      </w:pPr>
                      <w:r>
                        <w:rPr/>
                      </w:r>
                    </w:p>
                  </w:txbxContent>
                </v:textbox>
                <w10:wrap type="none"/>
              </v:rect>
            </w:pict>
          </mc:Fallback>
        </mc:AlternateContent>
      </w:r>
    </w:p>
    <w:p>
      <w:pPr>
        <w:pStyle w:val="TextBody"/>
        <w:bidi w:val="0"/>
        <w:spacing w:lineRule="auto" w:line="290" w:before="0" w:after="240"/>
        <w:jc w:val="both"/>
        <w:rPr>
          <w:rFonts w:ascii="Times New Roman;serif" w:hAnsi="Times New Roman;serif"/>
          <w:b w:val="false"/>
          <w:color w:val="000000"/>
          <w:sz w:val="20"/>
        </w:rPr>
      </w:pPr>
      <w:r>
        <w:rPr>
          <w:rFonts w:ascii="Times New Roman;serif" w:hAnsi="Times New Roman;serif"/>
          <w:b w:val="false"/>
          <w:color w:val="000000"/>
          <w:sz w:val="20"/>
        </w:rPr>
        <w:t>on Participant as a result of Section 409A and, by accepting the PSUs, Participant hereby indemnifies the Company for any liability that arises as a result of Section 409A.</w:t>
      </w:r>
    </w:p>
    <w:p>
      <w:pPr>
        <w:pStyle w:val="TextBody"/>
        <w:bidi w:val="0"/>
        <w:spacing w:lineRule="auto" w:line="290" w:before="0" w:after="240"/>
        <w:ind w:left="0" w:right="0" w:firstLine="720"/>
        <w:jc w:val="both"/>
        <w:rPr/>
      </w:pPr>
      <w:r>
        <w:rPr>
          <w:rFonts w:ascii="Times New Roman;serif" w:hAnsi="Times New Roman;serif"/>
          <w:b w:val="false"/>
          <w:color w:val="000000"/>
          <w:sz w:val="22"/>
        </w:rPr>
        <w:t>6.</w:t>
      </w:r>
      <w:r>
        <w:rPr>
          <w:rFonts w:ascii="Times New Roman;serif" w:hAnsi="Times New Roman;serif"/>
          <w:b/>
          <w:color w:val="000000"/>
          <w:sz w:val="20"/>
          <w:u w:val="single"/>
        </w:rPr>
        <w:t>No Advice Regarding Grant</w:t>
      </w:r>
      <w:r>
        <w:rPr>
          <w:rFonts w:ascii="Times New Roman;serif" w:hAnsi="Times New Roman;serif"/>
          <w:b w:val="false"/>
          <w:color w:val="000000"/>
          <w:sz w:val="20"/>
        </w:rPr>
        <w:t>. The Company is not providing any tax, legal or financial advice, nor is the Company making any recommendations regarding Participant’s participation in the Plan, or Participant’s receipt of the PSUs, the vesting or settlement of the PSUs or the Shares allocated thereto or the sale of such Shares. Participant is hereby advised to consult with his or her own personal tax, legal and financial advisors regarding his or her participation in the Plan and the PSUs before accepting the PSUs or otherwise taking any action related to the PSUs or the Plan.</w:t>
      </w:r>
    </w:p>
    <w:p>
      <w:pPr>
        <w:pStyle w:val="TextBody"/>
        <w:bidi w:val="0"/>
        <w:spacing w:lineRule="auto" w:line="290" w:before="0" w:after="240"/>
        <w:ind w:left="0" w:right="0" w:firstLine="720"/>
        <w:jc w:val="both"/>
        <w:rPr/>
      </w:pPr>
      <w:r>
        <w:rPr>
          <w:rFonts w:ascii="Times New Roman;serif" w:hAnsi="Times New Roman;serif"/>
          <w:b w:val="false"/>
          <w:color w:val="000000"/>
          <w:sz w:val="22"/>
        </w:rPr>
        <w:t>7.</w:t>
      </w:r>
      <w:r>
        <w:rPr>
          <w:rFonts w:ascii="Times New Roman;serif" w:hAnsi="Times New Roman;serif"/>
          <w:b/>
          <w:color w:val="000000"/>
          <w:sz w:val="20"/>
          <w:u w:val="single"/>
        </w:rPr>
        <w:t>Data Privacy</w:t>
      </w:r>
      <w:r>
        <w:rPr>
          <w:rFonts w:ascii="Times New Roman;serif" w:hAnsi="Times New Roman;serif"/>
          <w:b w:val="false"/>
          <w:color w:val="000000"/>
          <w:sz w:val="20"/>
        </w:rPr>
        <w:t xml:space="preserve">. </w:t>
      </w:r>
    </w:p>
    <w:p>
      <w:pPr>
        <w:pStyle w:val="TextBody"/>
        <w:bidi w:val="0"/>
        <w:spacing w:lineRule="auto" w:line="288" w:before="0" w:after="240"/>
        <w:ind w:left="0" w:right="0" w:firstLine="1440"/>
        <w:jc w:val="both"/>
        <w:rPr/>
      </w:pPr>
      <w:r>
        <w:rPr>
          <w:rFonts w:ascii="Times New Roman;serif" w:hAnsi="Times New Roman;serif"/>
          <w:b/>
          <w:i/>
          <w:color w:val="000000"/>
          <w:sz w:val="20"/>
        </w:rPr>
        <w:t>Participant understands that the Company Group may hold certain personal information about Participant, including, but not limited to, Participant’s name, home address and telephone number, date of birth, social insurance number or other identification number, salary, nationality, job title, any Shares or directorships held in the Company, details of all Awards, or any other entitlement to Shares awarded, canceled, exercised, vested, unvested or outstanding in Participant’s favor (“</w:t>
      </w:r>
      <w:r>
        <w:rPr>
          <w:rFonts w:ascii="Times New Roman;serif" w:hAnsi="Times New Roman;serif"/>
          <w:b/>
          <w:i/>
          <w:color w:val="000000"/>
          <w:sz w:val="20"/>
          <w:u w:val="single"/>
        </w:rPr>
        <w:t>Data</w:t>
      </w:r>
      <w:r>
        <w:rPr>
          <w:color w:val="000000"/>
        </w:rPr>
        <w:t>”</w:t>
      </w:r>
      <w:r>
        <w:rPr>
          <w:rFonts w:ascii="Times New Roman;serif" w:hAnsi="Times New Roman;serif"/>
          <w:b/>
          <w:i/>
          <w:color w:val="000000"/>
          <w:sz w:val="20"/>
        </w:rPr>
        <w:t>), for the purpose of implementing, administering and managing the Plan, including, as the case may be, sensitive information pertaining to disability claims, (“</w:t>
      </w:r>
      <w:r>
        <w:rPr>
          <w:rFonts w:ascii="Times New Roman;serif" w:hAnsi="Times New Roman;serif"/>
          <w:b/>
          <w:i/>
          <w:color w:val="000000"/>
          <w:sz w:val="20"/>
          <w:u w:val="single"/>
        </w:rPr>
        <w:t>Data</w:t>
      </w:r>
      <w:r>
        <w:rPr>
          <w:color w:val="000000"/>
        </w:rPr>
        <w:t>”</w:t>
      </w:r>
      <w:r>
        <w:rPr>
          <w:rFonts w:ascii="Times New Roman;serif" w:hAnsi="Times New Roman;serif"/>
          <w:b/>
          <w:i/>
          <w:color w:val="000000"/>
          <w:sz w:val="20"/>
        </w:rPr>
        <w:t>), to the extent necessary for the sole purpose of implementing, administering and managing the Plan. Participant understands that Data will be transferred to such stock plan service provider as may be selected by the Company, presently or in the future, which may be assisting the Company with the implementation, administration and management of the Plan, to the extent necessary and for the sole purpose of the administration and management of the Plan.</w:t>
      </w:r>
    </w:p>
    <w:p>
      <w:pPr>
        <w:pStyle w:val="TextBody"/>
        <w:bidi w:val="0"/>
        <w:spacing w:lineRule="auto" w:line="288" w:before="0" w:after="240"/>
        <w:ind w:left="0" w:right="0" w:firstLine="1440"/>
        <w:jc w:val="both"/>
        <w:rPr>
          <w:rFonts w:ascii="Times New Roman;serif" w:hAnsi="Times New Roman;serif"/>
          <w:b/>
          <w:i/>
          <w:color w:val="000000"/>
          <w:sz w:val="20"/>
        </w:rPr>
      </w:pPr>
      <w:r>
        <w:rPr>
          <w:rFonts w:ascii="Times New Roman;serif" w:hAnsi="Times New Roman;serif"/>
          <w:b/>
          <w:i/>
          <w:color w:val="000000"/>
          <w:sz w:val="20"/>
        </w:rPr>
        <w:t>Participant understands that the recipients of the Data may be located in the United States or elsewhere, and that the recipient’s country (e.g., the United States) may have different data privacy laws and protections than Participant’s country.</w:t>
      </w:r>
    </w:p>
    <w:p>
      <w:pPr>
        <w:pStyle w:val="TextBody"/>
        <w:bidi w:val="0"/>
        <w:spacing w:lineRule="auto" w:line="290" w:before="0" w:after="240"/>
        <w:ind w:left="0" w:right="0" w:firstLine="720"/>
        <w:jc w:val="both"/>
        <w:rPr/>
      </w:pPr>
      <w:r>
        <w:rPr>
          <w:rFonts w:ascii="Times New Roman;serif" w:hAnsi="Times New Roman;serif"/>
          <w:b w:val="false"/>
          <w:color w:val="000000"/>
          <w:sz w:val="22"/>
        </w:rPr>
        <w:t>8.</w:t>
      </w:r>
      <w:r>
        <w:rPr>
          <w:rFonts w:ascii="Times New Roman;serif" w:hAnsi="Times New Roman;serif"/>
          <w:b/>
          <w:color w:val="000000"/>
          <w:sz w:val="20"/>
          <w:u w:val="single"/>
        </w:rPr>
        <w:t>Miscellaneous</w:t>
      </w:r>
      <w:r>
        <w:rPr>
          <w:rFonts w:ascii="Times New Roman;serif" w:hAnsi="Times New Roman;serif"/>
          <w:b w:val="false"/>
          <w:color w:val="000000"/>
          <w:sz w:val="20"/>
        </w:rPr>
        <w:t>.</w:t>
      </w:r>
    </w:p>
    <w:p>
      <w:pPr>
        <w:pStyle w:val="TextBody"/>
        <w:bidi w:val="0"/>
        <w:spacing w:lineRule="auto" w:line="290" w:before="0" w:after="240"/>
        <w:ind w:left="0" w:right="0" w:firstLine="720"/>
        <w:jc w:val="both"/>
        <w:rPr/>
      </w:pPr>
      <w:r>
        <w:rPr>
          <w:rFonts w:ascii="Times New Roman;serif" w:hAnsi="Times New Roman;serif"/>
          <w:b w:val="false"/>
          <w:color w:val="000000"/>
          <w:sz w:val="22"/>
        </w:rPr>
        <w:t>(a)</w:t>
      </w:r>
      <w:r>
        <w:rPr>
          <w:rFonts w:ascii="Times New Roman;serif" w:hAnsi="Times New Roman;serif"/>
          <w:b/>
          <w:color w:val="000000"/>
          <w:sz w:val="20"/>
          <w:u w:val="single"/>
        </w:rPr>
        <w:t>Governing Law and Venue</w:t>
      </w:r>
      <w:r>
        <w:rPr>
          <w:rFonts w:ascii="Times New Roman;serif" w:hAnsi="Times New Roman;serif"/>
          <w:b/>
          <w:color w:val="000000"/>
          <w:sz w:val="20"/>
        </w:rPr>
        <w:t xml:space="preserve">. </w:t>
      </w:r>
      <w:r>
        <w:rPr>
          <w:rFonts w:ascii="Times New Roman;serif" w:hAnsi="Times New Roman;serif"/>
          <w:b w:val="false"/>
          <w:color w:val="000000"/>
          <w:sz w:val="20"/>
        </w:rPr>
        <w:t>This Agreement and all acts and transactions pursuant hereto and the rights and obligations of the parties hereto shall be governed, construed and interpreted in accordance with the laws of the State of Delaware, without giving effect to principles of conflicts of law. For purposes of any action, lawsuit or other proceedings brought to enforce this Agreement, relating to it, or arising from it, the parties hereby submit and consent to the sole and exclusive jurisdiction of the Court of Chancery of the State of Delaware located in Wilmington, Delaware (or, if the Court of Chancery of the State of Delaware declines to accept jurisdiction over a particular matter, any state court located in Wilmington, Delaware or the United States District Court for the District of Delaware) and appellate courts thereof, and no other courts, where this grant is made and/or to be performed.</w:t>
      </w:r>
    </w:p>
    <w:p>
      <w:pPr>
        <w:pStyle w:val="TextBody"/>
        <w:bidi w:val="0"/>
        <w:spacing w:lineRule="auto" w:line="290" w:before="0" w:after="240"/>
        <w:ind w:left="0" w:right="0" w:firstLine="720"/>
        <w:jc w:val="both"/>
        <w:rPr/>
      </w:pPr>
      <w:r>
        <w:rPr>
          <w:rFonts w:ascii="Times New Roman;serif" w:hAnsi="Times New Roman;serif"/>
          <w:b w:val="false"/>
          <w:color w:val="000000"/>
          <w:sz w:val="22"/>
        </w:rPr>
        <w:t>(b)</w:t>
      </w:r>
      <w:r>
        <w:rPr>
          <w:rFonts w:ascii="Times New Roman;serif" w:hAnsi="Times New Roman;serif"/>
          <w:b/>
          <w:color w:val="000000"/>
          <w:sz w:val="20"/>
          <w:u w:val="single"/>
        </w:rPr>
        <w:t>Addendum and Sub-Plans</w:t>
      </w:r>
      <w:r>
        <w:rPr>
          <w:rFonts w:ascii="Times New Roman;serif" w:hAnsi="Times New Roman;serif"/>
          <w:b/>
          <w:color w:val="000000"/>
          <w:sz w:val="20"/>
        </w:rPr>
        <w:t xml:space="preserve">. </w:t>
      </w:r>
      <w:r>
        <w:rPr>
          <w:rFonts w:ascii="Times New Roman;serif" w:hAnsi="Times New Roman;serif"/>
          <w:b w:val="false"/>
          <w:color w:val="000000"/>
          <w:sz w:val="20"/>
        </w:rPr>
        <w:t>Notwithstanding any provisions in this Agreement, the PSUs shall be subject to any special terms and conditions set forth in any Addendum to this Agreement for Participant’s country. Moreover, if Participant relocates to one of the countries included in any Addendum, the special terms and conditions for such country will apply to Participant, to the extent the Company determines that the application of such terms and conditions is necessary or advisable for legal or administrative reasons. Any Addendum that may be attached hereto constitutes part of this Agreement. Further, the Plan shall be deemed to include any special terms and conditions set forth in any applicable sub-plan for Participant’s country (if any), and, if Participant relocates to a country for which the Company has established a sub-plan, the special terms and conditions for such country will apply to Participant, to the extent the Company determines that the application of such terms and conditions is necessary or advisable for legal or administrative reasons.</w:t>
      </w:r>
    </w:p>
    <w:p>
      <w:pPr>
        <w:pStyle w:val="TextBody"/>
        <w:bidi w:val="0"/>
        <w:spacing w:lineRule="auto" w:line="290" w:before="0" w:after="240"/>
        <w:ind w:left="0" w:right="0" w:firstLine="720"/>
        <w:jc w:val="both"/>
        <w:rPr/>
      </w:pPr>
      <w:r>
        <w:rPr>
          <w:rFonts w:ascii="Times New Roman;serif" w:hAnsi="Times New Roman;serif"/>
          <w:b w:val="false"/>
          <w:color w:val="000000"/>
          <w:sz w:val="22"/>
        </w:rPr>
        <w:t>(c)</w:t>
      </w:r>
      <w:r>
        <w:rPr>
          <w:rFonts w:ascii="Times New Roman;serif" w:hAnsi="Times New Roman;serif"/>
          <w:b/>
          <w:color w:val="000000"/>
          <w:sz w:val="20"/>
          <w:u w:val="single"/>
        </w:rPr>
        <w:t>Compensation Recovery</w:t>
      </w:r>
      <w:r>
        <w:rPr>
          <w:rFonts w:ascii="Times New Roman;serif" w:hAnsi="Times New Roman;serif"/>
          <w:b w:val="false"/>
          <w:color w:val="000000"/>
          <w:sz w:val="20"/>
        </w:rPr>
        <w:t xml:space="preserve">. Notwithstanding anything in the Grant Notice or PSU Agreement to the contrary, the Participant acknowledges and agrees that the Grant Notice and this PSU Agreement and the award </w:t>
      </w:r>
    </w:p>
    <w:p>
      <w:pPr>
        <w:pStyle w:val="TextBody"/>
        <w:bidi w:val="0"/>
        <w:spacing w:before="0" w:after="0"/>
        <w:ind w:left="0" w:right="0" w:firstLine="720"/>
        <w:jc w:val="right"/>
        <w:rPr/>
      </w:pPr>
      <w:r>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480175" cy="455295"/>
                <wp:effectExtent l="0" t="0" r="0" b="0"/>
                <wp:wrapNone/>
                <wp:docPr id="186" name="Frame184"/>
                <a:graphic xmlns:a="http://schemas.openxmlformats.org/drawingml/2006/main">
                  <a:graphicData uri="http://schemas.microsoft.com/office/word/2010/wordprocessingShape">
                    <wps:wsp>
                      <wps:cNvSpPr txBox="1"/>
                      <wps:spPr>
                        <a:xfrm>
                          <a:off x="0" y="0"/>
                          <a:ext cx="6480175" cy="455295"/>
                        </a:xfrm>
                        <a:prstGeom prst="rect"/>
                        <a:solidFill>
                          <a:srgbClr val="FFFFFF"/>
                        </a:solidFill>
                      </wps:spPr>
                      <wps:txbx>
                        <w:txbxContent>
                          <w:p>
                            <w:pPr>
                              <w:pStyle w:val="TextBody"/>
                              <w:bidi w:val="0"/>
                              <w:spacing w:lineRule="auto" w:line="292" w:before="0" w:after="16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p>
                            <w:pPr>
                              <w:pStyle w:val="TextBody"/>
                              <w:bidi w:val="0"/>
                              <w:spacing w:before="0" w:after="16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8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92" w:before="0" w:after="160"/>
                        <w:jc w:val="center"/>
                        <w:rPr>
                          <w:rFonts w:ascii="Times New Roman;serif" w:hAnsi="Times New Roman;serif"/>
                          <w:b w:val="false"/>
                          <w:color w:val="000000"/>
                          <w:sz w:val="20"/>
                        </w:rPr>
                      </w:pPr>
                      <w:r>
                        <w:rPr>
                          <w:rFonts w:ascii="Times New Roman;serif" w:hAnsi="Times New Roman;serif"/>
                          <w:b w:val="false"/>
                          <w:color w:val="000000"/>
                          <w:sz w:val="20"/>
                        </w:rPr>
                        <w:t>4</w:t>
                      </w:r>
                    </w:p>
                    <w:p>
                      <w:pPr>
                        <w:pStyle w:val="TextBody"/>
                        <w:bidi w:val="0"/>
                        <w:spacing w:before="0" w:after="160"/>
                        <w:jc w:val="both"/>
                        <w:rPr/>
                      </w:pPr>
                      <w:r>
                        <w:rPr/>
                      </w:r>
                    </w:p>
                  </w:txbxContent>
                </v:textbox>
                <w10:wrap type="none"/>
              </v:rect>
            </w:pict>
          </mc:Fallback>
        </mc:AlternateContent>
      </w:r>
    </w:p>
    <w:p>
      <w:pPr>
        <w:pStyle w:val="TextBody"/>
        <w:bidi w:val="0"/>
        <w:spacing w:lineRule="auto" w:line="290" w:before="0" w:after="240"/>
        <w:jc w:val="both"/>
        <w:rPr/>
      </w:pPr>
      <w:r>
        <w:rPr>
          <w:rFonts w:ascii="Times New Roman;serif" w:hAnsi="Times New Roman;serif"/>
          <w:b w:val="false"/>
          <w:color w:val="000000"/>
          <w:sz w:val="20"/>
        </w:rPr>
        <w:t>described herein (and any settlement thereof) are subject to the terms and conditions of the Company’s clawback provisions, policy or policies (if any) as may exist or be in effect from time to time, including specifically to implement Section 10D of the Exchange Act and any applicable rules or regulations promulgated thereunder (including applicable rules and regulations of any national securities exchange on which the Shares at any point may be traded) (the “</w:t>
      </w:r>
      <w:r>
        <w:rPr>
          <w:rFonts w:ascii="Times New Roman;serif" w:hAnsi="Times New Roman;serif"/>
          <w:b w:val="false"/>
          <w:color w:val="000000"/>
          <w:sz w:val="20"/>
          <w:u w:val="single"/>
        </w:rPr>
        <w:t>Compensation Recovery Policy</w:t>
      </w:r>
      <w:r>
        <w:rPr>
          <w:color w:val="000000"/>
        </w:rPr>
        <w:t>”</w:t>
      </w:r>
      <w:r>
        <w:rPr>
          <w:rFonts w:ascii="Times New Roman;serif" w:hAnsi="Times New Roman;serif"/>
          <w:b w:val="false"/>
          <w:color w:val="000000"/>
          <w:sz w:val="20"/>
        </w:rPr>
        <w:t>), and that applicable provisions of the Grant Notice and this PSU Agreement (or any related documents) shall be interpreted consistently with (or deemed superseded by and/or subject to, as applicable) the terms and conditions of the Compensation Recovery Policy. Further, by accepting these PSUs, the Participant agrees (or has agreed) to fully cooperate with and assist the Company in connection with any of the Participant’s obligations to the Company pursuant to the Compensation Recovery Policy, and agrees (or has agreed) that the Company may enforce its rights under the Compensation Recovery Policy through any and all reasonable means permitted under applicable law as it deems necessary or desirable under the Compensation Recovery Policy, in each case from and after the effective dates thereof. Such cooperation and assistance shall include, but is not limited to, executing, completing and submitting any documentation necessary to facilitate the recovery or recoupment by the Company from the Participant of any such amounts, including from the Participants’ accounts or from any other compensation, to the extent permissible under Section 409A of the Code.</w:t>
      </w:r>
    </w:p>
    <w:p>
      <w:pPr>
        <w:pStyle w:val="TextBody"/>
        <w:bidi w:val="0"/>
        <w:spacing w:lineRule="auto" w:line="290" w:before="0" w:after="240"/>
        <w:ind w:left="0" w:right="0" w:firstLine="720"/>
        <w:jc w:val="both"/>
        <w:rPr/>
      </w:pPr>
      <w:r>
        <w:rPr>
          <w:rFonts w:ascii="Times New Roman;serif" w:hAnsi="Times New Roman;serif"/>
          <w:b w:val="false"/>
          <w:color w:val="000000"/>
          <w:sz w:val="22"/>
        </w:rPr>
        <w:t>(d)</w:t>
      </w:r>
      <w:r>
        <w:rPr>
          <w:rFonts w:ascii="Times New Roman;serif" w:hAnsi="Times New Roman;serif"/>
          <w:b/>
          <w:color w:val="000000"/>
          <w:sz w:val="20"/>
          <w:u w:val="single"/>
        </w:rPr>
        <w:t>Entire Agreement; Enforcement of Rights; Amendment</w:t>
      </w:r>
      <w:r>
        <w:rPr>
          <w:rFonts w:ascii="Times New Roman;serif" w:hAnsi="Times New Roman;serif"/>
          <w:b/>
          <w:color w:val="000000"/>
          <w:sz w:val="20"/>
        </w:rPr>
        <w:t xml:space="preserve">. </w:t>
      </w:r>
      <w:r>
        <w:rPr>
          <w:rFonts w:ascii="Times New Roman;serif" w:hAnsi="Times New Roman;serif"/>
          <w:b w:val="false"/>
          <w:color w:val="000000"/>
          <w:sz w:val="20"/>
        </w:rPr>
        <w:t>This Agreement, together with the Plan the Grant Notice, and the Performance Memo, sets forth the entire agreement and understanding of the parties relating to the subject matter herein and merges all prior or contemporaneous discussions between them. Except as contemplated by the Plan, no modification of or amendment to this Agreement, nor any waiver of any rights under this Agreement, shall be effective unless in writing signed by the parties to this Agreement to the extent it would materially and adversely affect the rights of Participant. The failure by either party to enforce any rights under this Agreement shall not be construed as a waiver of any rights of such party. Notwithstanding anything to the contrary in the Plan or this Agreement, the Company reserves the right to revise this Agreement as it deems necessary or advisable, in its sole discretion and without the consent of Participant, to comply with Code Section 409A or to otherwise avoid imposition of any additional tax or income recognition under Section 409A of the Code in connection with the PSUs.</w:t>
      </w:r>
    </w:p>
    <w:p>
      <w:pPr>
        <w:pStyle w:val="TextBody"/>
        <w:bidi w:val="0"/>
        <w:spacing w:lineRule="auto" w:line="290" w:before="0" w:after="240"/>
        <w:ind w:left="0" w:right="0" w:firstLine="720"/>
        <w:jc w:val="both"/>
        <w:rPr/>
      </w:pPr>
      <w:r>
        <w:rPr>
          <w:rFonts w:ascii="Times New Roman;serif" w:hAnsi="Times New Roman;serif"/>
          <w:b w:val="false"/>
          <w:color w:val="000000"/>
          <w:sz w:val="22"/>
        </w:rPr>
        <w:t>(e)</w:t>
      </w:r>
      <w:r>
        <w:rPr>
          <w:rFonts w:ascii="Times New Roman;serif" w:hAnsi="Times New Roman;serif"/>
          <w:b/>
          <w:color w:val="000000"/>
          <w:sz w:val="20"/>
          <w:u w:val="single"/>
        </w:rPr>
        <w:t>Severability</w:t>
      </w:r>
      <w:r>
        <w:rPr>
          <w:rFonts w:ascii="Times New Roman;serif" w:hAnsi="Times New Roman;serif"/>
          <w:b/>
          <w:color w:val="000000"/>
          <w:sz w:val="20"/>
        </w:rPr>
        <w:t xml:space="preserve">. </w:t>
      </w:r>
      <w:r>
        <w:rPr>
          <w:rFonts w:ascii="Times New Roman;serif" w:hAnsi="Times New Roman;serif"/>
          <w:b w:val="false"/>
          <w:color w:val="000000"/>
          <w:sz w:val="20"/>
        </w:rPr>
        <w:t>If one or more provisions of this Agreement, the Grant Notice or the Plan are held to be unenforceable under Applicable Laws, the parties agree to renegotiate such provision in good faith. In the event that the parties do not reach a mutually agreeable and enforceable replacement for such provision, then (i) such provision shall be excluded from this Agreement, the Grant Notice and the Plan, (ii) the balance of the Agreement, the Grant Notice and the Plan shall be interpreted as if such provision were so excluded and (iii) the balance of the Agreement, the Grant Notice and the Plan shall be enforceable in accordance with its terms.</w:t>
      </w:r>
    </w:p>
    <w:p>
      <w:pPr>
        <w:pStyle w:val="TextBody"/>
        <w:bidi w:val="0"/>
        <w:spacing w:lineRule="auto" w:line="290" w:before="0" w:after="240"/>
        <w:ind w:left="0" w:right="0" w:firstLine="720"/>
        <w:jc w:val="both"/>
        <w:rPr/>
      </w:pPr>
      <w:r>
        <w:rPr>
          <w:rFonts w:ascii="Times New Roman;serif" w:hAnsi="Times New Roman;serif"/>
          <w:b w:val="false"/>
          <w:color w:val="000000"/>
          <w:sz w:val="22"/>
        </w:rPr>
        <w:t>(f)</w:t>
      </w:r>
      <w:r>
        <w:rPr>
          <w:rFonts w:ascii="Times New Roman;serif" w:hAnsi="Times New Roman;serif"/>
          <w:b/>
          <w:color w:val="000000"/>
          <w:sz w:val="20"/>
          <w:u w:val="single"/>
        </w:rPr>
        <w:t>Language</w:t>
      </w:r>
      <w:r>
        <w:rPr>
          <w:rFonts w:ascii="Times New Roman;serif" w:hAnsi="Times New Roman;serif"/>
          <w:b/>
          <w:color w:val="000000"/>
          <w:sz w:val="20"/>
        </w:rPr>
        <w:t xml:space="preserve">. </w:t>
      </w:r>
      <w:r>
        <w:rPr>
          <w:rFonts w:ascii="Times New Roman;serif" w:hAnsi="Times New Roman;serif"/>
          <w:b w:val="false"/>
          <w:color w:val="000000"/>
          <w:sz w:val="20"/>
        </w:rPr>
        <w:t>If Participant has received this Agreement, the Grant Notice, the Performance Memo, the Plan or any other document related to the PSUs and/or the Plan translated into a language other than English and if the meaning of the translated version is different than the English version, the English version will control.</w:t>
      </w:r>
    </w:p>
    <w:p>
      <w:pPr>
        <w:pStyle w:val="TextBody"/>
        <w:bidi w:val="0"/>
        <w:spacing w:lineRule="auto" w:line="290" w:before="0" w:after="240"/>
        <w:ind w:left="0" w:right="0" w:firstLine="720"/>
        <w:jc w:val="both"/>
        <w:rPr/>
      </w:pPr>
      <w:r>
        <w:rPr>
          <w:rFonts w:ascii="Times New Roman;serif" w:hAnsi="Times New Roman;serif"/>
          <w:b w:val="false"/>
          <w:color w:val="000000"/>
          <w:sz w:val="22"/>
        </w:rPr>
        <w:t>(g)</w:t>
      </w:r>
      <w:r>
        <w:rPr>
          <w:rFonts w:ascii="Times New Roman;serif" w:hAnsi="Times New Roman;serif"/>
          <w:b/>
          <w:color w:val="000000"/>
          <w:sz w:val="20"/>
          <w:u w:val="single"/>
        </w:rPr>
        <w:t>Imposition of Other Requirements</w:t>
      </w:r>
      <w:r>
        <w:rPr>
          <w:rFonts w:ascii="Times New Roman;serif" w:hAnsi="Times New Roman;serif"/>
          <w:b/>
          <w:color w:val="000000"/>
          <w:sz w:val="20"/>
        </w:rPr>
        <w:t xml:space="preserve">. </w:t>
      </w:r>
      <w:r>
        <w:rPr>
          <w:rFonts w:ascii="Times New Roman;serif" w:hAnsi="Times New Roman;serif"/>
          <w:b w:val="false"/>
          <w:color w:val="000000"/>
          <w:sz w:val="20"/>
        </w:rPr>
        <w:t>The Company reserves the right to impose other requirements on Participant’s participation in the Plan, on the PSUs and on any Shares allocated to the PSUs, to the extent the Company determines it is necessary or advisable for legal or administrative reasons, and to require Participant to sign any additional agreements or undertakings that may be necessary to accomplish the foregoing. Participant also acknowledges that the Applicable Laws of the country in which Participant is residing or working at the time of grant, vesting and settlement of the PSUs or the sale of Shares received pursuant to the PSUs (including any rules or regulations governing securities, foreign exchange, tax, labor, or other matters) may subject Participant to additional procedural or regulatory requirements that Participant is and will be solely responsible for and must fulfill. Such requirements may be outlined in, but are not limited to, any Addendum attached hereto.</w:t>
      </w:r>
    </w:p>
    <w:p>
      <w:pPr>
        <w:pStyle w:val="TextBody"/>
        <w:bidi w:val="0"/>
        <w:spacing w:before="0" w:after="0"/>
        <w:ind w:left="0" w:right="0" w:firstLine="720"/>
        <w:jc w:val="right"/>
        <w:rPr/>
      </w:pPr>
      <w:r>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480175" cy="455295"/>
                <wp:effectExtent l="0" t="0" r="0" b="0"/>
                <wp:wrapNone/>
                <wp:docPr id="187" name="Frame185"/>
                <a:graphic xmlns:a="http://schemas.openxmlformats.org/drawingml/2006/main">
                  <a:graphicData uri="http://schemas.microsoft.com/office/word/2010/wordprocessingShape">
                    <wps:wsp>
                      <wps:cNvSpPr txBox="1"/>
                      <wps:spPr>
                        <a:xfrm>
                          <a:off x="0" y="0"/>
                          <a:ext cx="6480175" cy="455295"/>
                        </a:xfrm>
                        <a:prstGeom prst="rect"/>
                        <a:solidFill>
                          <a:srgbClr val="FFFFFF"/>
                        </a:solidFill>
                      </wps:spPr>
                      <wps:txbx>
                        <w:txbxContent>
                          <w:p>
                            <w:pPr>
                              <w:pStyle w:val="TextBody"/>
                              <w:bidi w:val="0"/>
                              <w:spacing w:lineRule="auto" w:line="292" w:before="0" w:after="16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p>
                            <w:pPr>
                              <w:pStyle w:val="TextBody"/>
                              <w:bidi w:val="0"/>
                              <w:spacing w:before="0" w:after="16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8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92" w:before="0" w:after="160"/>
                        <w:jc w:val="center"/>
                        <w:rPr>
                          <w:rFonts w:ascii="Times New Roman;serif" w:hAnsi="Times New Roman;serif"/>
                          <w:b w:val="false"/>
                          <w:color w:val="000000"/>
                          <w:sz w:val="20"/>
                        </w:rPr>
                      </w:pPr>
                      <w:r>
                        <w:rPr>
                          <w:rFonts w:ascii="Times New Roman;serif" w:hAnsi="Times New Roman;serif"/>
                          <w:b w:val="false"/>
                          <w:color w:val="000000"/>
                          <w:sz w:val="20"/>
                        </w:rPr>
                        <w:t>5</w:t>
                      </w:r>
                    </w:p>
                    <w:p>
                      <w:pPr>
                        <w:pStyle w:val="TextBody"/>
                        <w:bidi w:val="0"/>
                        <w:spacing w:before="0" w:after="160"/>
                        <w:jc w:val="both"/>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Notwithstanding any provision herein, the PSUs and Participant’s participation in the Plan shall be subject to any applicable special terms and conditions or disclosures as set forth in any Addendum attached hereto.</w:t>
      </w:r>
    </w:p>
    <w:p>
      <w:pPr>
        <w:pStyle w:val="TextBody"/>
        <w:bidi w:val="0"/>
        <w:spacing w:lineRule="auto" w:line="290" w:before="0" w:after="240"/>
        <w:ind w:left="0" w:right="0" w:firstLine="720"/>
        <w:jc w:val="both"/>
        <w:rPr/>
      </w:pPr>
      <w:r>
        <w:rPr>
          <w:rFonts w:ascii="Times New Roman;serif" w:hAnsi="Times New Roman;serif"/>
          <w:b w:val="false"/>
          <w:color w:val="000000"/>
          <w:sz w:val="22"/>
        </w:rPr>
        <w:t>(h)</w:t>
      </w:r>
      <w:r>
        <w:rPr>
          <w:rFonts w:ascii="Times New Roman;serif" w:hAnsi="Times New Roman;serif"/>
          <w:b/>
          <w:color w:val="000000"/>
          <w:sz w:val="20"/>
          <w:u w:val="single"/>
        </w:rPr>
        <w:t>Notices</w:t>
      </w:r>
      <w:r>
        <w:rPr>
          <w:rFonts w:ascii="Times New Roman;serif" w:hAnsi="Times New Roman;serif"/>
          <w:b/>
          <w:color w:val="000000"/>
          <w:sz w:val="20"/>
        </w:rPr>
        <w:t xml:space="preserve">. </w:t>
      </w:r>
      <w:r>
        <w:rPr>
          <w:rFonts w:ascii="Times New Roman;serif" w:hAnsi="Times New Roman;serif"/>
          <w:b w:val="false"/>
          <w:color w:val="000000"/>
          <w:sz w:val="20"/>
        </w:rPr>
        <w:t>Any notice, demand or request required or permitted to be given under this Agreement shall be in writing and shall be deemed sufficient when delivered personally or by overnight courier or sent by email or fax, or 48 hours after being deposited in the U.S. mail or a comparable foreign mail service, as certified or registered mail with postage or shipping charges prepaid, addressed to the party to be notified at such party’s address as set forth on the signature page, as subsequently modified by written notice, or if no address is specified on the signature page, at the most recent address, email or fax number set forth in the Company’s books and records.</w:t>
      </w:r>
    </w:p>
    <w:p>
      <w:pPr>
        <w:pStyle w:val="TextBody"/>
        <w:bidi w:val="0"/>
        <w:spacing w:lineRule="auto" w:line="290" w:before="0" w:after="240"/>
        <w:ind w:left="0" w:right="0" w:firstLine="720"/>
        <w:jc w:val="both"/>
        <w:rPr/>
      </w:pPr>
      <w:r>
        <w:rPr>
          <w:rFonts w:ascii="Times New Roman;serif" w:hAnsi="Times New Roman;serif"/>
          <w:b w:val="false"/>
          <w:color w:val="000000"/>
          <w:sz w:val="22"/>
        </w:rPr>
        <w:t>(i)</w:t>
      </w:r>
      <w:r>
        <w:rPr>
          <w:rFonts w:ascii="Times New Roman;serif" w:hAnsi="Times New Roman;serif"/>
          <w:b/>
          <w:color w:val="000000"/>
          <w:sz w:val="20"/>
          <w:u w:val="single"/>
        </w:rPr>
        <w:t>Counterparts</w:t>
      </w:r>
      <w:r>
        <w:rPr>
          <w:rFonts w:ascii="Times New Roman;serif" w:hAnsi="Times New Roman;serif"/>
          <w:b/>
          <w:color w:val="000000"/>
          <w:sz w:val="20"/>
        </w:rPr>
        <w:t xml:space="preserve">. </w:t>
      </w:r>
      <w:r>
        <w:rPr>
          <w:rFonts w:ascii="Times New Roman;serif" w:hAnsi="Times New Roman;serif"/>
          <w:b w:val="false"/>
          <w:color w:val="000000"/>
          <w:sz w:val="20"/>
        </w:rPr>
        <w:t>This Agreement may be executed in two or more counterparts, each of which shall be deemed an original and all of which together shall constitute one instrument. Facsimile, email or other electronic execution and delivery of this Agreement (including but not limited to execution by electronic signature or click-through electronic acceptance) shall constitute valid and binding execution and delivery for all purposes and shall be deemed to be, and have the effect of, an original signature.</w:t>
      </w:r>
    </w:p>
    <w:p>
      <w:pPr>
        <w:pStyle w:val="TextBody"/>
        <w:bidi w:val="0"/>
        <w:spacing w:lineRule="auto" w:line="290" w:before="0" w:after="240"/>
        <w:ind w:left="0" w:right="0" w:firstLine="720"/>
        <w:jc w:val="both"/>
        <w:rPr/>
      </w:pPr>
      <w:r>
        <w:rPr>
          <w:rFonts w:ascii="Times New Roman;serif" w:hAnsi="Times New Roman;serif"/>
          <w:b w:val="false"/>
          <w:color w:val="000000"/>
          <w:sz w:val="22"/>
        </w:rPr>
        <w:t>(j)</w:t>
      </w:r>
      <w:r>
        <w:rPr>
          <w:rFonts w:ascii="Times New Roman;serif" w:hAnsi="Times New Roman;serif"/>
          <w:b/>
          <w:color w:val="000000"/>
          <w:sz w:val="20"/>
          <w:u w:val="single"/>
        </w:rPr>
        <w:t>Successors and Assigns</w:t>
      </w:r>
      <w:r>
        <w:rPr>
          <w:rFonts w:ascii="Times New Roman;serif" w:hAnsi="Times New Roman;serif"/>
          <w:b/>
          <w:color w:val="000000"/>
          <w:sz w:val="20"/>
        </w:rPr>
        <w:t xml:space="preserve">. </w:t>
      </w:r>
      <w:r>
        <w:rPr>
          <w:rFonts w:ascii="Times New Roman;serif" w:hAnsi="Times New Roman;serif"/>
          <w:b w:val="false"/>
          <w:color w:val="000000"/>
          <w:sz w:val="20"/>
        </w:rPr>
        <w:t>The rights and benefits of this Agreement shall inure to the benefit of, and be enforceable by the Company’s successors and assigns. The rights and obligations of Participant under this Agreement may only be assigned with the prior written consent of the Company.</w:t>
      </w:r>
    </w:p>
    <w:p>
      <w:pPr>
        <w:pStyle w:val="TextBody"/>
        <w:bidi w:val="0"/>
        <w:spacing w:lineRule="auto" w:line="290" w:before="0" w:after="240"/>
        <w:ind w:left="0" w:right="0" w:firstLine="720"/>
        <w:jc w:val="both"/>
        <w:rPr/>
      </w:pPr>
      <w:r>
        <w:rPr>
          <w:rFonts w:ascii="Times New Roman;serif" w:hAnsi="Times New Roman;serif"/>
          <w:b w:val="false"/>
          <w:color w:val="000000"/>
          <w:sz w:val="22"/>
        </w:rPr>
        <w:t>(k)</w:t>
      </w:r>
      <w:r>
        <w:rPr>
          <w:rFonts w:ascii="Times New Roman;serif" w:hAnsi="Times New Roman;serif"/>
          <w:b/>
          <w:color w:val="000000"/>
          <w:sz w:val="20"/>
          <w:u w:val="single"/>
        </w:rPr>
        <w:t>Electronic Delivery</w:t>
      </w:r>
      <w:r>
        <w:rPr>
          <w:rFonts w:ascii="Times New Roman;serif" w:hAnsi="Times New Roman;serif"/>
          <w:b/>
          <w:color w:val="000000"/>
          <w:sz w:val="20"/>
        </w:rPr>
        <w:t xml:space="preserve">. </w:t>
      </w:r>
      <w:r>
        <w:rPr>
          <w:rFonts w:ascii="Times New Roman;serif" w:hAnsi="Times New Roman;serif"/>
          <w:b w:val="false"/>
          <w:color w:val="000000"/>
          <w:sz w:val="20"/>
        </w:rPr>
        <w:t>The Company may, in its sole discretion, decide to deliver to Participant by email or any other electronic means any documents, elections or notices related to this Agreement, the PSUs, the Shares allocated to the PSUs, Participant’s current or future participation in the Plan, securities of the Company or any member of the Company Group or any other matter, including documents, elections and/or notices required to be delivered to Participant by applicable securities law or any other Applicable Laws or the Company’s Amended Certificate of Incorporation or Bylaws. By accepting this Agreement, whether electronically or otherwise, Participant hereby consents to receive such documents and notices by such electronic delivery and agrees to participate in the Plan through an on-line or electronic system established and maintained by the Company or a third party designated by the Company, including but not limited to the use of electronic signatures or click-through electronic acceptance of terms and conditions.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720"/>
        <w:jc w:val="right"/>
        <w:rPr/>
      </w:pPr>
      <w:r>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480175" cy="455295"/>
                <wp:effectExtent l="0" t="0" r="0" b="0"/>
                <wp:wrapNone/>
                <wp:docPr id="188" name="Frame186"/>
                <a:graphic xmlns:a="http://schemas.openxmlformats.org/drawingml/2006/main">
                  <a:graphicData uri="http://schemas.microsoft.com/office/word/2010/wordprocessingShape">
                    <wps:wsp>
                      <wps:cNvSpPr txBox="1"/>
                      <wps:spPr>
                        <a:xfrm>
                          <a:off x="0" y="0"/>
                          <a:ext cx="6480175" cy="455295"/>
                        </a:xfrm>
                        <a:prstGeom prst="rect"/>
                        <a:solidFill>
                          <a:srgbClr val="FFFFFF"/>
                        </a:solidFill>
                      </wps:spPr>
                      <wps:txbx>
                        <w:txbxContent>
                          <w:p>
                            <w:pPr>
                              <w:pStyle w:val="TextBody"/>
                              <w:bidi w:val="0"/>
                              <w:spacing w:lineRule="auto" w:line="292" w:before="0" w:after="16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p>
                            <w:pPr>
                              <w:pStyle w:val="TextBody"/>
                              <w:bidi w:val="0"/>
                              <w:spacing w:before="0" w:after="16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8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92" w:before="0" w:after="160"/>
                        <w:jc w:val="center"/>
                        <w:rPr>
                          <w:rFonts w:ascii="Times New Roman;serif" w:hAnsi="Times New Roman;serif"/>
                          <w:b w:val="false"/>
                          <w:color w:val="000000"/>
                          <w:sz w:val="20"/>
                        </w:rPr>
                      </w:pPr>
                      <w:r>
                        <w:rPr>
                          <w:rFonts w:ascii="Times New Roman;serif" w:hAnsi="Times New Roman;serif"/>
                          <w:b w:val="false"/>
                          <w:color w:val="000000"/>
                          <w:sz w:val="20"/>
                        </w:rPr>
                        <w:t>6</w:t>
                      </w:r>
                    </w:p>
                    <w:p>
                      <w:pPr>
                        <w:pStyle w:val="TextBody"/>
                        <w:bidi w:val="0"/>
                        <w:spacing w:before="0" w:after="160"/>
                        <w:jc w:val="both"/>
                        <w:rPr/>
                      </w:pPr>
                      <w:r>
                        <w:rPr/>
                      </w:r>
                    </w:p>
                  </w:txbxContent>
                </v:textbox>
                <w10:wrap type="none"/>
              </v:rect>
            </w:pict>
          </mc:Fallback>
        </mc:AlternateContent>
      </w:r>
    </w:p>
    <w:p>
      <w:pPr>
        <w:pStyle w:val="TextBody"/>
        <w:bidi w:val="0"/>
        <w:spacing w:lineRule="auto" w:line="288" w:before="0" w:after="0"/>
        <w:jc w:val="center"/>
        <w:rPr/>
      </w:pPr>
      <w:r>
        <w:rPr>
          <w:rFonts w:ascii="Times New Roman;serif" w:hAnsi="Times New Roman;serif"/>
          <w:b/>
          <w:color w:val="000000"/>
          <w:sz w:val="20"/>
        </w:rPr>
        <w:t>PERFORMANCE MEMO</w:t>
        <w:br/>
        <w:t>TO</w:t>
        <w:br/>
        <w:t>PERFORMANCE SHARE UNITS AGREEMENT</w:t>
      </w:r>
      <w:r>
        <w:rPr>
          <w:rFonts w:ascii="Times New Roman;serif" w:hAnsi="Times New Roman;serif"/>
          <w:b w:val="false"/>
          <w:color w:val="000000"/>
          <w:sz w:val="20"/>
        </w:rPr>
        <w:br/>
        <w:br/>
      </w:r>
      <w:r>
        <w:rPr>
          <w:rFonts w:ascii="Times New Roman;serif" w:hAnsi="Times New Roman;serif"/>
          <w:b/>
          <w:color w:val="000000"/>
          <w:sz w:val="20"/>
        </w:rPr>
        <w:t>PERFORMANCE GOALS FOR PSU AWARD</w:t>
      </w:r>
    </w:p>
    <w:p>
      <w:pPr>
        <w:pStyle w:val="TextBody"/>
        <w:bidi w:val="0"/>
        <w:spacing w:before="0" w:after="240"/>
        <w:jc w:val="both"/>
        <w:rPr/>
      </w:pPr>
      <w:r>
        <w:rPr/>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Date of Grant: __________</w:t>
      </w:r>
    </w:p>
    <w:p>
      <w:pPr>
        <w:pStyle w:val="TextBody"/>
        <w:bidi w:val="0"/>
        <w:spacing w:lineRule="auto" w:line="288" w:before="0" w:after="240"/>
        <w:jc w:val="both"/>
        <w:rPr/>
      </w:pPr>
      <w:r>
        <w:rPr>
          <w:rFonts w:ascii="Times New Roman;serif" w:hAnsi="Times New Roman;serif"/>
          <w:b w:val="false"/>
          <w:color w:val="000000"/>
          <w:sz w:val="20"/>
        </w:rPr>
        <w:t>This Performance Memorandum (the “</w:t>
      </w:r>
      <w:r>
        <w:rPr>
          <w:rFonts w:ascii="Times New Roman;serif" w:hAnsi="Times New Roman;serif"/>
          <w:b w:val="false"/>
          <w:color w:val="000000"/>
          <w:sz w:val="20"/>
          <w:u w:val="single"/>
        </w:rPr>
        <w:t>Performance Memo</w:t>
      </w:r>
      <w:r>
        <w:rPr>
          <w:color w:val="000000"/>
        </w:rPr>
        <w:t>”</w:t>
      </w:r>
      <w:r>
        <w:rPr>
          <w:rFonts w:ascii="Times New Roman;serif" w:hAnsi="Times New Roman;serif"/>
          <w:b w:val="false"/>
          <w:color w:val="000000"/>
          <w:sz w:val="20"/>
        </w:rPr>
        <w:t>) applies to the PSUs granted to the Participant on the Date of Grant and applies with respect to the Performance Share Unit Agreement (the “</w:t>
      </w:r>
      <w:r>
        <w:rPr>
          <w:rFonts w:ascii="Times New Roman;serif" w:hAnsi="Times New Roman;serif"/>
          <w:b w:val="false"/>
          <w:color w:val="000000"/>
          <w:sz w:val="20"/>
          <w:u w:val="single"/>
        </w:rPr>
        <w:t>PSU Agreement</w:t>
      </w:r>
      <w:r>
        <w:rPr>
          <w:color w:val="000000"/>
        </w:rPr>
        <w:t>”</w:t>
      </w:r>
      <w:r>
        <w:rPr>
          <w:rFonts w:ascii="Times New Roman;serif" w:hAnsi="Times New Roman;serif"/>
          <w:b w:val="false"/>
          <w:color w:val="000000"/>
          <w:sz w:val="20"/>
        </w:rPr>
        <w:t>) and the Performance Share Unit Grant Notice between the Company and the Participant (the “</w:t>
      </w:r>
      <w:r>
        <w:rPr>
          <w:rFonts w:ascii="Times New Roman;serif" w:hAnsi="Times New Roman;serif"/>
          <w:b w:val="false"/>
          <w:color w:val="000000"/>
          <w:sz w:val="20"/>
          <w:u w:val="single"/>
        </w:rPr>
        <w:t>Grant Notice</w:t>
      </w:r>
      <w:r>
        <w:rPr>
          <w:color w:val="000000"/>
        </w:rPr>
        <w:t>”</w:t>
      </w:r>
      <w:r>
        <w:rPr>
          <w:rFonts w:ascii="Times New Roman;serif" w:hAnsi="Times New Roman;serif"/>
          <w:b w:val="false"/>
          <w:color w:val="000000"/>
          <w:sz w:val="20"/>
        </w:rPr>
        <w:t>). Capitalized terms used in this Performance Memo that are not specifically defined in this Performance Memo have the meanings assigned to them in the PSU Agreement, the Grant Notice or in the Plan, as applicable.</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The actual number of PSUs earned by Grantee will be determined by the Committee following the end of the Performance Period using data as of, and including, the last day of the Performance Period under the rules described below. Any PSUs not earned will be canceled and forfeited. </w:t>
      </w:r>
    </w:p>
    <w:p>
      <w:pPr>
        <w:pStyle w:val="TextBody"/>
        <w:bidi w:val="0"/>
        <w:spacing w:lineRule="auto" w:line="290" w:before="240" w:after="240"/>
        <w:ind w:left="0" w:right="0" w:hanging="360"/>
        <w:jc w:val="both"/>
        <w:rPr/>
      </w:pPr>
      <w:r>
        <w:rPr>
          <w:rFonts w:ascii="Times New Roman;serif" w:hAnsi="Times New Roman;serif"/>
          <w:b w:val="false"/>
          <w:color w:val="000000"/>
          <w:sz w:val="22"/>
        </w:rPr>
        <w:t>1.</w:t>
      </w:r>
      <w:r>
        <w:rPr>
          <w:rFonts w:ascii="Times New Roman;serif" w:hAnsi="Times New Roman;serif"/>
          <w:b w:val="false"/>
          <w:color w:val="000000"/>
          <w:sz w:val="20"/>
        </w:rPr>
        <w:t>The actual number of Shares delivered to Participant in settlement of the PSUs earned under the Grant Notice and PSU Agreement will be determined based on actual performance results as described below, subject to Section 2 of the PSU Agreement.</w:t>
      </w:r>
    </w:p>
    <w:p>
      <w:pPr>
        <w:pStyle w:val="TextBody"/>
        <w:bidi w:val="0"/>
        <w:spacing w:lineRule="auto" w:line="290" w:before="240" w:after="240"/>
        <w:ind w:left="0" w:right="0" w:hanging="360"/>
        <w:jc w:val="both"/>
        <w:rPr/>
      </w:pPr>
      <w:r>
        <w:rPr>
          <w:rFonts w:ascii="Times New Roman;serif" w:hAnsi="Times New Roman;serif"/>
          <w:b w:val="false"/>
          <w:color w:val="000000"/>
          <w:sz w:val="22"/>
        </w:rPr>
        <w:t>2.</w:t>
      </w:r>
      <w:r>
        <w:rPr>
          <w:rFonts w:ascii="Times New Roman;serif" w:hAnsi="Times New Roman;serif"/>
          <w:b w:val="false"/>
          <w:color w:val="000000"/>
          <w:sz w:val="20"/>
        </w:rPr>
        <w:t>The PSUs subject to the Grant Notice and PSU Agreement are earned based on the achievement of the Performance Goals over the Performance Period.</w:t>
      </w:r>
    </w:p>
    <w:p>
      <w:pPr>
        <w:pStyle w:val="TextBody"/>
        <w:bidi w:val="0"/>
        <w:spacing w:lineRule="auto" w:line="290" w:before="240" w:after="240"/>
        <w:ind w:left="0" w:right="0" w:hanging="360"/>
        <w:jc w:val="both"/>
        <w:rPr/>
      </w:pPr>
      <w:r>
        <w:rPr>
          <w:rFonts w:ascii="Times New Roman;serif" w:hAnsi="Times New Roman;serif"/>
          <w:b w:val="false"/>
          <w:color w:val="000000"/>
          <w:sz w:val="22"/>
        </w:rPr>
        <w:t>3.</w:t>
      </w:r>
      <w:r>
        <w:rPr>
          <w:rFonts w:ascii="Times New Roman;serif" w:hAnsi="Times New Roman;serif"/>
          <w:b w:val="false"/>
          <w:color w:val="000000"/>
          <w:sz w:val="20"/>
        </w:rPr>
        <w:t>50% of the Target PSUs will be earned based on the achievement of Revenue (the “</w:t>
      </w:r>
      <w:r>
        <w:rPr>
          <w:rFonts w:ascii="Times New Roman;serif" w:hAnsi="Times New Roman;serif"/>
          <w:b w:val="false"/>
          <w:color w:val="000000"/>
          <w:sz w:val="20"/>
          <w:u w:val="single"/>
        </w:rPr>
        <w:t>Revenue PSUs</w:t>
      </w:r>
      <w:r>
        <w:rPr>
          <w:color w:val="000000"/>
        </w:rPr>
        <w:t>”</w:t>
      </w:r>
      <w:r>
        <w:rPr>
          <w:rFonts w:ascii="Times New Roman;serif" w:hAnsi="Times New Roman;serif"/>
          <w:b w:val="false"/>
          <w:color w:val="000000"/>
          <w:sz w:val="20"/>
        </w:rPr>
        <w:t>), and 50% of the Target PSUs will be earned based on the achievement of Free Cash Flow (“</w:t>
      </w:r>
      <w:r>
        <w:rPr>
          <w:rFonts w:ascii="Times New Roman;serif" w:hAnsi="Times New Roman;serif"/>
          <w:b w:val="false"/>
          <w:color w:val="000000"/>
          <w:sz w:val="20"/>
          <w:u w:val="single"/>
        </w:rPr>
        <w:t>FCF PSUs</w:t>
      </w:r>
      <w:r>
        <w:rPr>
          <w:color w:val="000000"/>
        </w:rPr>
        <w:t>”</w:t>
      </w:r>
      <w:r>
        <w:rPr>
          <w:rFonts w:ascii="Times New Roman;serif" w:hAnsi="Times New Roman;serif"/>
          <w:b w:val="false"/>
          <w:color w:val="000000"/>
          <w:sz w:val="20"/>
        </w:rPr>
        <w:t>).</w:t>
      </w:r>
    </w:p>
    <w:p>
      <w:pPr>
        <w:pStyle w:val="TextBody"/>
        <w:bidi w:val="0"/>
        <w:spacing w:lineRule="auto" w:line="290" w:before="240" w:after="240"/>
        <w:ind w:left="0" w:right="0" w:hanging="360"/>
        <w:jc w:val="both"/>
        <w:rPr/>
      </w:pPr>
      <w:r>
        <w:rPr>
          <w:rFonts w:ascii="Times New Roman;serif" w:hAnsi="Times New Roman;serif"/>
          <w:b w:val="false"/>
          <w:color w:val="000000"/>
          <w:sz w:val="22"/>
        </w:rPr>
        <w:t>4.</w:t>
      </w:r>
      <w:r>
        <w:rPr>
          <w:rFonts w:ascii="Times New Roman;serif" w:hAnsi="Times New Roman;serif"/>
          <w:b w:val="false"/>
          <w:color w:val="000000"/>
          <w:sz w:val="20"/>
          <w:u w:val="single"/>
        </w:rPr>
        <w:t>Definitions</w:t>
      </w:r>
      <w:r>
        <w:rPr>
          <w:rFonts w:ascii="Times New Roman;serif" w:hAnsi="Times New Roman;serif"/>
          <w:b w:val="false"/>
          <w:color w:val="000000"/>
          <w:sz w:val="20"/>
        </w:rPr>
        <w:t>. For purposes of this the Performance Memo:</w:t>
      </w:r>
    </w:p>
    <w:p>
      <w:pPr>
        <w:pStyle w:val="TextBody"/>
        <w:bidi w:val="0"/>
        <w:spacing w:lineRule="auto" w:line="290" w:before="0" w:after="240"/>
        <w:ind w:left="0" w:right="0" w:hanging="360"/>
        <w:jc w:val="both"/>
        <w:rPr/>
      </w:pPr>
      <w:r>
        <w:rPr>
          <w:rFonts w:ascii="Times New Roman;serif" w:hAnsi="Times New Roman;serif"/>
          <w:b w:val="false"/>
          <w:color w:val="000000"/>
          <w:sz w:val="22"/>
        </w:rPr>
        <w:t>(a)</w:t>
      </w:r>
      <w:r>
        <w:rPr>
          <w:color w:val="000000"/>
        </w:rPr>
        <w:t>“</w:t>
      </w:r>
      <w:r>
        <w:rPr>
          <w:rFonts w:ascii="Times New Roman;serif" w:hAnsi="Times New Roman;serif"/>
          <w:b w:val="false"/>
          <w:color w:val="000000"/>
          <w:sz w:val="20"/>
          <w:u w:val="single"/>
        </w:rPr>
        <w:t>Free Cash Flow</w:t>
      </w:r>
      <w:r>
        <w:rPr>
          <w:color w:val="000000"/>
        </w:rPr>
        <w:t xml:space="preserve">” </w:t>
      </w:r>
      <w:r>
        <w:rPr>
          <w:rFonts w:ascii="Times New Roman;serif" w:hAnsi="Times New Roman;serif"/>
          <w:b w:val="false"/>
          <w:color w:val="000000"/>
          <w:sz w:val="20"/>
        </w:rPr>
        <w:t>or “</w:t>
      </w:r>
      <w:r>
        <w:rPr>
          <w:rFonts w:ascii="Times New Roman;serif" w:hAnsi="Times New Roman;serif"/>
          <w:b w:val="false"/>
          <w:color w:val="000000"/>
          <w:sz w:val="20"/>
          <w:u w:val="single"/>
        </w:rPr>
        <w:t>FCF</w:t>
      </w:r>
      <w:r>
        <w:rPr>
          <w:color w:val="000000"/>
        </w:rPr>
        <w:t xml:space="preserve">” </w:t>
      </w:r>
      <w:r>
        <w:rPr>
          <w:rFonts w:ascii="Times New Roman;serif" w:hAnsi="Times New Roman;serif"/>
          <w:b w:val="false"/>
          <w:color w:val="000000"/>
          <w:sz w:val="20"/>
        </w:rPr>
        <w:t>means the Company’s cash provided by operating activities minus capital expenditures and excludes free cash flow derived from mergers and acquisitions activity and the tax effected impact of ethylene oxide (“</w:t>
      </w:r>
      <w:r>
        <w:rPr>
          <w:rFonts w:ascii="Times New Roman;serif" w:hAnsi="Times New Roman;serif"/>
          <w:b w:val="false"/>
          <w:color w:val="000000"/>
          <w:sz w:val="20"/>
          <w:u w:val="single"/>
        </w:rPr>
        <w:t>EO</w:t>
      </w:r>
      <w:r>
        <w:rPr>
          <w:color w:val="000000"/>
        </w:rPr>
        <w:t>”</w:t>
      </w:r>
      <w:r>
        <w:rPr>
          <w:rFonts w:ascii="Times New Roman;serif" w:hAnsi="Times New Roman;serif"/>
          <w:b w:val="false"/>
          <w:color w:val="000000"/>
          <w:sz w:val="20"/>
        </w:rPr>
        <w:t>) litigation settlements and professional services related to EO sterilization facilities, in each case measured from the first day of the Performance Period through the last day of the Performance Period. The Free Cash Flow for the Performance Period will be determined by the Committee in its sole discretion.</w:t>
      </w:r>
      <w:r>
        <w:rPr>
          <w:color w:val="000000"/>
        </w:rPr>
        <w:t xml:space="preserve"> </w:t>
      </w:r>
    </w:p>
    <w:p>
      <w:pPr>
        <w:pStyle w:val="TextBody"/>
        <w:bidi w:val="0"/>
        <w:spacing w:lineRule="auto" w:line="290" w:before="0" w:after="240"/>
        <w:ind w:left="0" w:right="0" w:hanging="360"/>
        <w:jc w:val="both"/>
        <w:rPr/>
      </w:pPr>
      <w:r>
        <w:rPr>
          <w:rFonts w:ascii="Times New Roman;serif" w:hAnsi="Times New Roman;serif"/>
          <w:b w:val="false"/>
          <w:color w:val="000000"/>
          <w:sz w:val="22"/>
        </w:rPr>
        <w:t>(b)</w:t>
      </w:r>
      <w:r>
        <w:rPr>
          <w:color w:val="000000"/>
        </w:rPr>
        <w:t>“</w:t>
      </w:r>
      <w:r>
        <w:rPr>
          <w:rFonts w:ascii="Times New Roman;serif" w:hAnsi="Times New Roman;serif"/>
          <w:b w:val="false"/>
          <w:color w:val="000000"/>
          <w:sz w:val="20"/>
          <w:u w:val="single"/>
        </w:rPr>
        <w:t>Revenue</w:t>
      </w:r>
      <w:r>
        <w:rPr>
          <w:color w:val="000000"/>
        </w:rPr>
        <w:t xml:space="preserve">” </w:t>
      </w:r>
      <w:r>
        <w:rPr>
          <w:rFonts w:ascii="Times New Roman;serif" w:hAnsi="Times New Roman;serif"/>
          <w:b w:val="false"/>
          <w:color w:val="000000"/>
          <w:sz w:val="20"/>
        </w:rPr>
        <w:t>means the Company’s cumulative annual revenue for each year of the Performance Period and excludes the impact of foreign currency exchange rates and revenue derived from mergers and acquisition activity, in each case plus or minus special items that may occur from time to time that the Committee believes should adjust the as-reported results for measurement of such Revenue performance. All determinations with respect to actual performance in relation to performance goals using Revenue as a metric will be made by the Committee in its sole discretion.</w:t>
      </w:r>
    </w:p>
    <w:p>
      <w:pPr>
        <w:pStyle w:val="TextBody"/>
        <w:bidi w:val="0"/>
        <w:spacing w:lineRule="auto" w:line="290" w:before="240" w:after="240"/>
        <w:ind w:left="0" w:right="0" w:hanging="360"/>
        <w:jc w:val="both"/>
        <w:rPr/>
      </w:pPr>
      <w:r>
        <w:rPr>
          <w:rFonts w:ascii="Times New Roman;serif" w:hAnsi="Times New Roman;serif"/>
          <w:b w:val="false"/>
          <w:color w:val="000000"/>
          <w:sz w:val="22"/>
        </w:rPr>
        <w:t>5.</w:t>
      </w:r>
      <w:r>
        <w:rPr>
          <w:rFonts w:ascii="Times New Roman;serif" w:hAnsi="Times New Roman;serif"/>
          <w:b w:val="false"/>
          <w:color w:val="000000"/>
          <w:sz w:val="20"/>
          <w:u w:val="single"/>
        </w:rPr>
        <w:t>Total Number of PSUs Earned</w:t>
      </w:r>
      <w:r>
        <w:rPr>
          <w:rFonts w:ascii="Times New Roman;serif" w:hAnsi="Times New Roman;serif"/>
          <w:b w:val="false"/>
          <w:color w:val="000000"/>
          <w:sz w:val="20"/>
        </w:rPr>
        <w:t>. The total number of PSUs earned for the Performance Period shall be equal to the sum of (a) the Revenue PSUs earned, as determined in accordance with Sections 6 and 7 of this the Performance Memo, and (b) the FCF PSUs earned, as determined in accordance with Sections 8 and 9 of this the Performance Memo.</w:t>
      </w:r>
    </w:p>
    <w:p>
      <w:pPr>
        <w:pStyle w:val="TextBody"/>
        <w:bidi w:val="0"/>
        <w:spacing w:before="0" w:after="0"/>
        <w:ind w:left="0" w:right="0" w:firstLine="720"/>
        <w:jc w:val="right"/>
        <w:rPr/>
      </w:pPr>
      <w:r>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480175" cy="455295"/>
                <wp:effectExtent l="0" t="0" r="0" b="0"/>
                <wp:wrapNone/>
                <wp:docPr id="189" name="Frame187"/>
                <a:graphic xmlns:a="http://schemas.openxmlformats.org/drawingml/2006/main">
                  <a:graphicData uri="http://schemas.microsoft.com/office/word/2010/wordprocessingShape">
                    <wps:wsp>
                      <wps:cNvSpPr txBox="1"/>
                      <wps:spPr>
                        <a:xfrm>
                          <a:off x="0" y="0"/>
                          <a:ext cx="6480175" cy="455295"/>
                        </a:xfrm>
                        <a:prstGeom prst="rect"/>
                        <a:solidFill>
                          <a:srgbClr val="FFFFFF"/>
                        </a:solidFill>
                      </wps:spPr>
                      <wps:txbx>
                        <w:txbxContent>
                          <w:p>
                            <w:pPr>
                              <w:pStyle w:val="TextBody"/>
                              <w:bidi w:val="0"/>
                              <w:spacing w:lineRule="auto" w:line="292" w:before="0" w:after="16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p>
                            <w:pPr>
                              <w:pStyle w:val="TextBody"/>
                              <w:bidi w:val="0"/>
                              <w:spacing w:before="0" w:after="16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8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92" w:before="0" w:after="160"/>
                        <w:jc w:val="center"/>
                        <w:rPr>
                          <w:rFonts w:ascii="Times New Roman;serif" w:hAnsi="Times New Roman;serif"/>
                          <w:b w:val="false"/>
                          <w:color w:val="000000"/>
                          <w:sz w:val="20"/>
                        </w:rPr>
                      </w:pPr>
                      <w:r>
                        <w:rPr>
                          <w:rFonts w:ascii="Times New Roman;serif" w:hAnsi="Times New Roman;serif"/>
                          <w:b w:val="false"/>
                          <w:color w:val="000000"/>
                          <w:sz w:val="20"/>
                        </w:rPr>
                        <w:t>1</w:t>
                      </w:r>
                    </w:p>
                    <w:p>
                      <w:pPr>
                        <w:pStyle w:val="TextBody"/>
                        <w:bidi w:val="0"/>
                        <w:spacing w:before="0" w:after="160"/>
                        <w:jc w:val="both"/>
                        <w:rPr/>
                      </w:pPr>
                      <w:r>
                        <w:rPr/>
                      </w:r>
                    </w:p>
                  </w:txbxContent>
                </v:textbox>
                <w10:wrap type="none"/>
              </v:rect>
            </w:pict>
          </mc:Fallback>
        </mc:AlternateContent>
      </w:r>
    </w:p>
    <w:p>
      <w:pPr>
        <w:pStyle w:val="TextBody"/>
        <w:bidi w:val="0"/>
        <w:spacing w:lineRule="auto" w:line="290" w:before="240" w:after="240"/>
        <w:ind w:left="0" w:right="0" w:hanging="360"/>
        <w:jc w:val="both"/>
        <w:rPr/>
      </w:pPr>
      <w:r>
        <w:rPr>
          <w:rFonts w:ascii="Times New Roman;serif" w:hAnsi="Times New Roman;serif"/>
          <w:b w:val="false"/>
          <w:color w:val="000000"/>
          <w:sz w:val="22"/>
        </w:rPr>
        <w:t>6.</w:t>
      </w:r>
      <w:r>
        <w:rPr>
          <w:rFonts w:ascii="Times New Roman;serif" w:hAnsi="Times New Roman;serif"/>
          <w:b w:val="false"/>
          <w:color w:val="000000"/>
          <w:sz w:val="20"/>
          <w:u w:val="single"/>
        </w:rPr>
        <w:t>Revenue Performance Matrix</w:t>
      </w:r>
      <w:r>
        <w:rPr>
          <w:rFonts w:ascii="Times New Roman;serif" w:hAnsi="Times New Roman;serif"/>
          <w:b w:val="false"/>
          <w:color w:val="000000"/>
          <w:sz w:val="20"/>
        </w:rPr>
        <w:t>. From 0% to _____% of the Revenue PSUs will be earned based on achievement of the Revenue Performance Goal during the Performance Period as set forth in the following matrix (the “</w:t>
      </w:r>
      <w:r>
        <w:rPr>
          <w:rFonts w:ascii="Times New Roman;serif" w:hAnsi="Times New Roman;serif"/>
          <w:b w:val="false"/>
          <w:color w:val="000000"/>
          <w:sz w:val="20"/>
          <w:u w:val="single"/>
        </w:rPr>
        <w:t>Revenue Matrix</w:t>
      </w:r>
      <w:r>
        <w:rPr>
          <w:color w:val="000000"/>
        </w:rPr>
        <w:t>”</w:t>
      </w:r>
      <w:r>
        <w:rPr>
          <w:rFonts w:ascii="Times New Roman;serif" w:hAnsi="Times New Roman;serif"/>
          <w:b w:val="false"/>
          <w:color w:val="000000"/>
          <w:sz w:val="20"/>
        </w:rPr>
        <w:t>):</w:t>
      </w:r>
    </w:p>
    <w:tbl>
      <w:tblPr>
        <w:tblW w:w="6224" w:type="dxa"/>
        <w:jc w:val="left"/>
        <w:tblInd w:w="0" w:type="dxa"/>
        <w:tblLayout w:type="fixed"/>
        <w:tblCellMar>
          <w:top w:w="28" w:type="dxa"/>
          <w:left w:w="28" w:type="dxa"/>
          <w:bottom w:w="28" w:type="dxa"/>
          <w:right w:w="28" w:type="dxa"/>
        </w:tblCellMar>
      </w:tblPr>
      <w:tblGrid>
        <w:gridCol w:w="636"/>
        <w:gridCol w:w="559"/>
        <w:gridCol w:w="560"/>
        <w:gridCol w:w="814"/>
        <w:gridCol w:w="814"/>
        <w:gridCol w:w="816"/>
        <w:gridCol w:w="593"/>
        <w:gridCol w:w="593"/>
        <w:gridCol w:w="839"/>
      </w:tblGrid>
      <w:tr>
        <w:trPr/>
        <w:tc>
          <w:tcPr>
            <w:tcW w:w="636"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1755"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90" w:before="0" w:after="160"/>
              <w:jc w:val="center"/>
              <w:rPr>
                <w:rFonts w:ascii="Times New Roman;serif" w:hAnsi="Times New Roman;serif"/>
                <w:b/>
                <w:color w:val="000000"/>
                <w:sz w:val="20"/>
              </w:rPr>
            </w:pPr>
            <w:r>
              <w:rPr>
                <w:rFonts w:ascii="Times New Roman;serif" w:hAnsi="Times New Roman;serif"/>
                <w:b/>
                <w:color w:val="000000"/>
                <w:sz w:val="20"/>
              </w:rPr>
              <w:t>Performance Level</w:t>
            </w:r>
          </w:p>
        </w:tc>
        <w:tc>
          <w:tcPr>
            <w:tcW w:w="2444"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90" w:before="0" w:after="160"/>
              <w:jc w:val="center"/>
              <w:rPr>
                <w:rFonts w:ascii="Times New Roman;serif" w:hAnsi="Times New Roman;serif"/>
                <w:b/>
                <w:color w:val="000000"/>
                <w:sz w:val="20"/>
              </w:rPr>
            </w:pPr>
            <w:r>
              <w:rPr>
                <w:rFonts w:ascii="Times New Roman;serif" w:hAnsi="Times New Roman;serif"/>
                <w:b/>
                <w:color w:val="000000"/>
                <w:sz w:val="20"/>
              </w:rPr>
              <w:t>Revenue Performance Goal</w:t>
            </w:r>
          </w:p>
        </w:tc>
        <w:tc>
          <w:tcPr>
            <w:tcW w:w="2025"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90" w:before="0" w:after="160"/>
              <w:jc w:val="center"/>
              <w:rPr>
                <w:rFonts w:ascii="Times New Roman;serif" w:hAnsi="Times New Roman;serif"/>
                <w:b/>
                <w:color w:val="000000"/>
                <w:sz w:val="20"/>
              </w:rPr>
            </w:pPr>
            <w:r>
              <w:rPr>
                <w:rFonts w:ascii="Times New Roman;serif" w:hAnsi="Times New Roman;serif"/>
                <w:b/>
                <w:color w:val="000000"/>
                <w:sz w:val="20"/>
              </w:rPr>
              <w:t>Revenue PSUs Earned</w:t>
            </w:r>
          </w:p>
        </w:tc>
      </w:tr>
      <w:tr>
        <w:trPr/>
        <w:tc>
          <w:tcPr>
            <w:tcW w:w="1755"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90" w:before="0" w:after="160"/>
              <w:jc w:val="center"/>
              <w:rPr>
                <w:rFonts w:ascii="Times New Roman;serif" w:hAnsi="Times New Roman;serif"/>
                <w:b w:val="false"/>
                <w:color w:val="000000"/>
                <w:sz w:val="20"/>
              </w:rPr>
            </w:pPr>
            <w:r>
              <w:rPr>
                <w:rFonts w:ascii="Times New Roman;serif" w:hAnsi="Times New Roman;serif"/>
                <w:b w:val="false"/>
                <w:color w:val="000000"/>
                <w:sz w:val="20"/>
              </w:rPr>
              <w:t>Threshold</w:t>
            </w:r>
          </w:p>
        </w:tc>
        <w:tc>
          <w:tcPr>
            <w:tcW w:w="2444"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90" w:before="0" w:after="160"/>
              <w:jc w:val="center"/>
              <w:rPr>
                <w:rFonts w:ascii="Times New Roman;serif" w:hAnsi="Times New Roman;serif"/>
                <w:b w:val="false"/>
                <w:color w:val="000000"/>
                <w:sz w:val="20"/>
              </w:rPr>
            </w:pPr>
            <w:r>
              <w:rPr>
                <w:rFonts w:ascii="Times New Roman;serif" w:hAnsi="Times New Roman;serif"/>
                <w:b w:val="false"/>
                <w:color w:val="000000"/>
                <w:sz w:val="20"/>
              </w:rPr>
              <w:t>Target</w:t>
            </w:r>
          </w:p>
        </w:tc>
        <w:tc>
          <w:tcPr>
            <w:tcW w:w="2444"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top w:val="single" w:sz="4" w:space="0" w:color="000000"/>
              <w:left w:val="single" w:sz="4" w:space="0" w:color="000000"/>
              <w:bottom w:val="single" w:sz="4" w:space="0" w:color="000000"/>
            </w:tcBorders>
            <w:tcMar>
              <w:top w:w="30" w:type="dxa"/>
              <w:left w:w="48" w:type="dxa"/>
              <w:bottom w:w="30" w:type="dxa"/>
              <w:right w:w="0" w:type="dxa"/>
            </w:tcMar>
            <w:vAlign w:val="center"/>
          </w:tcPr>
          <w:p>
            <w:pPr>
              <w:pStyle w:val="TableContents"/>
              <w:bidi w:val="0"/>
              <w:spacing w:lineRule="auto" w:line="290" w:before="0" w:after="160"/>
              <w:jc w:val="center"/>
              <w:rPr>
                <w:rFonts w:ascii="Times New Roman;serif" w:hAnsi="Times New Roman;serif"/>
                <w:b w:val="false"/>
                <w:color w:val="000000"/>
                <w:sz w:val="20"/>
              </w:rPr>
            </w:pPr>
            <w:r>
              <w:rPr>
                <w:rFonts w:ascii="Times New Roman;serif" w:hAnsi="Times New Roman;serif"/>
                <w:b w:val="false"/>
                <w:color w:val="000000"/>
                <w:sz w:val="20"/>
              </w:rPr>
              <w:t>Maximum</w:t>
            </w:r>
          </w:p>
        </w:tc>
        <w:tc>
          <w:tcPr>
            <w:tcW w:w="2444"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90" w:before="240" w:after="240"/>
        <w:ind w:left="0" w:right="0" w:hanging="360"/>
        <w:jc w:val="both"/>
        <w:rPr/>
      </w:pPr>
      <w:r>
        <w:rPr>
          <w:rFonts w:ascii="Times New Roman;serif" w:hAnsi="Times New Roman;serif"/>
          <w:b w:val="false"/>
          <w:color w:val="000000"/>
          <w:sz w:val="22"/>
        </w:rPr>
        <w:t>7.</w:t>
      </w:r>
      <w:r>
        <w:rPr>
          <w:rFonts w:ascii="Times New Roman;serif" w:hAnsi="Times New Roman;serif"/>
          <w:b w:val="false"/>
          <w:color w:val="000000"/>
          <w:sz w:val="20"/>
          <w:u w:val="single"/>
        </w:rPr>
        <w:t>Number of Revenue PSUs Earned</w:t>
      </w:r>
      <w:r>
        <w:rPr>
          <w:rFonts w:ascii="Times New Roman;serif" w:hAnsi="Times New Roman;serif"/>
          <w:b w:val="false"/>
          <w:color w:val="000000"/>
          <w:sz w:val="20"/>
        </w:rPr>
        <w:t>. Following the Performance Period, the Committee shall determine whether and to what extent the Revenue Performance Goal has been satisfied for the Performance Period and shall determine the percentage of the Revenue PSUs that shall become earned hereunder and under the Grant Notice and PSU Agreement on the basis of the following:</w:t>
      </w:r>
    </w:p>
    <w:p>
      <w:pPr>
        <w:pStyle w:val="TextBody"/>
        <w:bidi w:val="0"/>
        <w:spacing w:lineRule="auto" w:line="290" w:before="0" w:after="240"/>
        <w:ind w:left="0" w:right="0" w:hanging="360"/>
        <w:jc w:val="both"/>
        <w:rPr/>
      </w:pPr>
      <w:r>
        <w:rPr>
          <w:rFonts w:ascii="Times New Roman;serif" w:hAnsi="Times New Roman;serif"/>
          <w:b w:val="false"/>
          <w:color w:val="000000"/>
          <w:sz w:val="22"/>
        </w:rPr>
        <w:t>(a)</w:t>
      </w:r>
      <w:r>
        <w:rPr>
          <w:rFonts w:ascii="Times New Roman;serif" w:hAnsi="Times New Roman;serif"/>
          <w:b w:val="false"/>
          <w:color w:val="000000"/>
          <w:sz w:val="20"/>
          <w:u w:val="single"/>
        </w:rPr>
        <w:t>Below Threshold</w:t>
      </w:r>
      <w:r>
        <w:rPr>
          <w:rFonts w:ascii="Times New Roman;serif" w:hAnsi="Times New Roman;serif"/>
          <w:b w:val="false"/>
          <w:color w:val="000000"/>
          <w:sz w:val="20"/>
        </w:rPr>
        <w:t>. If, upon the conclusion of the Performance Period, Revenue for the Performance Period is less than the lowest Revenue performance level set forth in the Revenue Matrix (i.e., less than the Threshold level), _____ Revenue PSUs shall be earned.</w:t>
      </w:r>
    </w:p>
    <w:p>
      <w:pPr>
        <w:pStyle w:val="TextBody"/>
        <w:bidi w:val="0"/>
        <w:spacing w:lineRule="auto" w:line="290" w:before="0" w:after="240"/>
        <w:ind w:left="0" w:right="0" w:hanging="360"/>
        <w:jc w:val="both"/>
        <w:rPr/>
      </w:pPr>
      <w:r>
        <w:rPr>
          <w:rFonts w:ascii="Times New Roman;serif" w:hAnsi="Times New Roman;serif"/>
          <w:b w:val="false"/>
          <w:color w:val="000000"/>
          <w:sz w:val="22"/>
        </w:rPr>
        <w:t>(b)</w:t>
      </w:r>
      <w:r>
        <w:rPr>
          <w:rFonts w:ascii="Times New Roman;serif" w:hAnsi="Times New Roman;serif"/>
          <w:b w:val="false"/>
          <w:color w:val="000000"/>
          <w:sz w:val="20"/>
          <w:u w:val="single"/>
        </w:rPr>
        <w:t>Threshold or Above</w:t>
      </w:r>
      <w:r>
        <w:rPr>
          <w:rFonts w:ascii="Times New Roman;serif" w:hAnsi="Times New Roman;serif"/>
          <w:b w:val="false"/>
          <w:color w:val="000000"/>
          <w:sz w:val="20"/>
        </w:rPr>
        <w:t xml:space="preserve">. If, upon the conclusion of the Performance Period, Revenue for the Performance Period is exactly equal to one of the Performance Goal levels set forth in the Revenue Matrix, the percentage of Revenue PSUs earned shall be equal to the percentage set forth opposite such Performance Goal level in the Revenue Matrix. If, upon the conclusion of the Performance Period, Revenue for the Performance Period falls between two Performance Goal levels set forth in the Revenue Matrix, the percentage of Revenue PSUs earned shall be based on straight-line mathematical interpolation between the percentages set forth opposite such Performance Goal levels (not to exceed _____%). </w:t>
      </w:r>
    </w:p>
    <w:p>
      <w:pPr>
        <w:pStyle w:val="TextBody"/>
        <w:bidi w:val="0"/>
        <w:spacing w:lineRule="auto" w:line="290" w:before="240" w:after="240"/>
        <w:ind w:left="0" w:right="0" w:hanging="360"/>
        <w:jc w:val="both"/>
        <w:rPr/>
      </w:pPr>
      <w:r>
        <w:rPr>
          <w:rFonts w:ascii="Times New Roman;serif" w:hAnsi="Times New Roman;serif"/>
          <w:b w:val="false"/>
          <w:color w:val="000000"/>
          <w:sz w:val="22"/>
        </w:rPr>
        <w:t>8.</w:t>
      </w:r>
      <w:r>
        <w:rPr>
          <w:rFonts w:ascii="Times New Roman;serif" w:hAnsi="Times New Roman;serif"/>
          <w:b w:val="false"/>
          <w:color w:val="000000"/>
          <w:sz w:val="20"/>
          <w:u w:val="single"/>
        </w:rPr>
        <w:t>Free Cash Flow Performance Matrix</w:t>
      </w:r>
      <w:r>
        <w:rPr>
          <w:rFonts w:ascii="Times New Roman;serif" w:hAnsi="Times New Roman;serif"/>
          <w:b w:val="false"/>
          <w:color w:val="000000"/>
          <w:sz w:val="20"/>
        </w:rPr>
        <w:t>. From 0% to _____% of the FCF PSUs will be earned based on achievement of the Free Cash Flow Performance Goal during the Performance Period as set forth in the following matrix (the “</w:t>
      </w:r>
      <w:r>
        <w:rPr>
          <w:rFonts w:ascii="Times New Roman;serif" w:hAnsi="Times New Roman;serif"/>
          <w:b w:val="false"/>
          <w:color w:val="000000"/>
          <w:sz w:val="20"/>
          <w:u w:val="single"/>
        </w:rPr>
        <w:t>FCF Matrix</w:t>
      </w:r>
      <w:r>
        <w:rPr>
          <w:color w:val="000000"/>
        </w:rPr>
        <w:t>”</w:t>
      </w:r>
      <w:r>
        <w:rPr>
          <w:rFonts w:ascii="Times New Roman;serif" w:hAnsi="Times New Roman;serif"/>
          <w:b w:val="false"/>
          <w:color w:val="000000"/>
          <w:sz w:val="20"/>
        </w:rPr>
        <w:t>):</w:t>
      </w:r>
    </w:p>
    <w:tbl>
      <w:tblPr>
        <w:tblW w:w="5113" w:type="dxa"/>
        <w:jc w:val="left"/>
        <w:tblInd w:w="0" w:type="dxa"/>
        <w:tblLayout w:type="fixed"/>
        <w:tblCellMar>
          <w:top w:w="28" w:type="dxa"/>
          <w:left w:w="28" w:type="dxa"/>
          <w:bottom w:w="28" w:type="dxa"/>
          <w:right w:w="28" w:type="dxa"/>
        </w:tblCellMar>
      </w:tblPr>
      <w:tblGrid>
        <w:gridCol w:w="636"/>
        <w:gridCol w:w="559"/>
        <w:gridCol w:w="560"/>
        <w:gridCol w:w="559"/>
        <w:gridCol w:w="559"/>
        <w:gridCol w:w="561"/>
        <w:gridCol w:w="490"/>
        <w:gridCol w:w="490"/>
        <w:gridCol w:w="699"/>
      </w:tblGrid>
      <w:tr>
        <w:trPr/>
        <w:tc>
          <w:tcPr>
            <w:tcW w:w="636"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r>
      <w:tr>
        <w:trPr/>
        <w:tc>
          <w:tcPr>
            <w:tcW w:w="1755"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90" w:before="0" w:after="160"/>
              <w:jc w:val="center"/>
              <w:rPr>
                <w:rFonts w:ascii="Times New Roman;serif" w:hAnsi="Times New Roman;serif"/>
                <w:b/>
                <w:color w:val="000000"/>
                <w:sz w:val="20"/>
              </w:rPr>
            </w:pPr>
            <w:r>
              <w:rPr>
                <w:rFonts w:ascii="Times New Roman;serif" w:hAnsi="Times New Roman;serif"/>
                <w:b/>
                <w:color w:val="000000"/>
                <w:sz w:val="20"/>
              </w:rPr>
              <w:t>Performance Level</w:t>
            </w:r>
          </w:p>
        </w:tc>
        <w:tc>
          <w:tcPr>
            <w:tcW w:w="167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FCF</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Performance Goal</w:t>
            </w:r>
          </w:p>
        </w:tc>
        <w:tc>
          <w:tcPr>
            <w:tcW w:w="1679"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90" w:before="0" w:after="160"/>
              <w:jc w:val="center"/>
              <w:rPr>
                <w:rFonts w:ascii="Times New Roman;serif" w:hAnsi="Times New Roman;serif"/>
                <w:b/>
                <w:color w:val="000000"/>
                <w:sz w:val="20"/>
              </w:rPr>
            </w:pPr>
            <w:r>
              <w:rPr>
                <w:rFonts w:ascii="Times New Roman;serif" w:hAnsi="Times New Roman;serif"/>
                <w:b/>
                <w:color w:val="000000"/>
                <w:sz w:val="20"/>
              </w:rPr>
              <w:t>FCF PSUs Earned</w:t>
            </w:r>
          </w:p>
        </w:tc>
      </w:tr>
      <w:tr>
        <w:trPr/>
        <w:tc>
          <w:tcPr>
            <w:tcW w:w="1755"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90" w:before="0" w:after="160"/>
              <w:jc w:val="center"/>
              <w:rPr>
                <w:rFonts w:ascii="Times New Roman;serif" w:hAnsi="Times New Roman;serif"/>
                <w:b w:val="false"/>
                <w:color w:val="000000"/>
                <w:sz w:val="20"/>
              </w:rPr>
            </w:pPr>
            <w:r>
              <w:rPr>
                <w:rFonts w:ascii="Times New Roman;serif" w:hAnsi="Times New Roman;serif"/>
                <w:b w:val="false"/>
                <w:color w:val="000000"/>
                <w:sz w:val="20"/>
              </w:rPr>
              <w:t>Threshold</w:t>
            </w:r>
          </w:p>
        </w:tc>
        <w:tc>
          <w:tcPr>
            <w:tcW w:w="1679"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90" w:before="0" w:after="160"/>
              <w:jc w:val="center"/>
              <w:rPr>
                <w:rFonts w:ascii="Times New Roman;serif" w:hAnsi="Times New Roman;serif"/>
                <w:b w:val="false"/>
                <w:color w:val="000000"/>
                <w:sz w:val="20"/>
              </w:rPr>
            </w:pPr>
            <w:r>
              <w:rPr>
                <w:rFonts w:ascii="Times New Roman;serif" w:hAnsi="Times New Roman;serif"/>
                <w:b w:val="false"/>
                <w:color w:val="000000"/>
                <w:sz w:val="20"/>
              </w:rPr>
              <w:t>Target</w:t>
            </w:r>
          </w:p>
        </w:tc>
        <w:tc>
          <w:tcPr>
            <w:tcW w:w="1679"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top w:val="single" w:sz="4" w:space="0" w:color="000000"/>
              <w:left w:val="single" w:sz="4" w:space="0" w:color="000000"/>
              <w:bottom w:val="single" w:sz="4" w:space="0" w:color="000000"/>
            </w:tcBorders>
            <w:tcMar>
              <w:top w:w="30" w:type="dxa"/>
              <w:left w:w="48" w:type="dxa"/>
              <w:bottom w:w="30" w:type="dxa"/>
              <w:right w:w="0" w:type="dxa"/>
            </w:tcMar>
            <w:vAlign w:val="center"/>
          </w:tcPr>
          <w:p>
            <w:pPr>
              <w:pStyle w:val="TableContents"/>
              <w:bidi w:val="0"/>
              <w:spacing w:lineRule="auto" w:line="290" w:before="0" w:after="160"/>
              <w:jc w:val="center"/>
              <w:rPr>
                <w:rFonts w:ascii="Times New Roman;serif" w:hAnsi="Times New Roman;serif"/>
                <w:b w:val="false"/>
                <w:color w:val="000000"/>
                <w:sz w:val="20"/>
              </w:rPr>
            </w:pPr>
            <w:r>
              <w:rPr>
                <w:rFonts w:ascii="Times New Roman;serif" w:hAnsi="Times New Roman;serif"/>
                <w:b w:val="false"/>
                <w:color w:val="000000"/>
                <w:sz w:val="20"/>
              </w:rPr>
              <w:t>Maximum</w:t>
            </w:r>
          </w:p>
        </w:tc>
        <w:tc>
          <w:tcPr>
            <w:tcW w:w="1679"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90" w:before="240" w:after="240"/>
        <w:ind w:left="0" w:right="0" w:hanging="360"/>
        <w:jc w:val="both"/>
        <w:rPr/>
      </w:pPr>
      <w:r>
        <w:rPr>
          <w:rFonts w:ascii="Times New Roman;serif" w:hAnsi="Times New Roman;serif"/>
          <w:b w:val="false"/>
          <w:color w:val="000000"/>
          <w:sz w:val="22"/>
        </w:rPr>
        <w:t>9.</w:t>
      </w:r>
      <w:r>
        <w:rPr>
          <w:rFonts w:ascii="Times New Roman;serif" w:hAnsi="Times New Roman;serif"/>
          <w:b w:val="false"/>
          <w:color w:val="000000"/>
          <w:sz w:val="20"/>
          <w:u w:val="single"/>
        </w:rPr>
        <w:t>Number of FCF PSUs Earned</w:t>
      </w:r>
      <w:r>
        <w:rPr>
          <w:rFonts w:ascii="Times New Roman;serif" w:hAnsi="Times New Roman;serif"/>
          <w:b w:val="false"/>
          <w:color w:val="000000"/>
          <w:sz w:val="20"/>
        </w:rPr>
        <w:t>. Following the Performance Period, the Committee shall determine whether and to what extent the FCF Performance Goal has been satisfied for the Performance Period and shall determine the percentage of the FCF PSUs that shall become earned hereunder and under the Grant Notice and PSU Agreement on the basis of the following:</w:t>
      </w:r>
    </w:p>
    <w:p>
      <w:pPr>
        <w:pStyle w:val="TextBody"/>
        <w:bidi w:val="0"/>
        <w:spacing w:before="0" w:after="0"/>
        <w:ind w:left="0" w:right="0" w:firstLine="720"/>
        <w:jc w:val="right"/>
        <w:rPr/>
      </w:pPr>
      <w:r>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480175" cy="455295"/>
                <wp:effectExtent l="0" t="0" r="0" b="0"/>
                <wp:wrapNone/>
                <wp:docPr id="190" name="Frame188"/>
                <a:graphic xmlns:a="http://schemas.openxmlformats.org/drawingml/2006/main">
                  <a:graphicData uri="http://schemas.microsoft.com/office/word/2010/wordprocessingShape">
                    <wps:wsp>
                      <wps:cNvSpPr txBox="1"/>
                      <wps:spPr>
                        <a:xfrm>
                          <a:off x="0" y="0"/>
                          <a:ext cx="6480175" cy="455295"/>
                        </a:xfrm>
                        <a:prstGeom prst="rect"/>
                        <a:solidFill>
                          <a:srgbClr val="FFFFFF"/>
                        </a:solidFill>
                      </wps:spPr>
                      <wps:txbx>
                        <w:txbxContent>
                          <w:p>
                            <w:pPr>
                              <w:pStyle w:val="TextBody"/>
                              <w:bidi w:val="0"/>
                              <w:spacing w:lineRule="auto" w:line="292" w:before="0" w:after="16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p>
                            <w:pPr>
                              <w:pStyle w:val="TextBody"/>
                              <w:bidi w:val="0"/>
                              <w:spacing w:before="0" w:after="16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8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92" w:before="0" w:after="160"/>
                        <w:jc w:val="center"/>
                        <w:rPr>
                          <w:rFonts w:ascii="Times New Roman;serif" w:hAnsi="Times New Roman;serif"/>
                          <w:b w:val="false"/>
                          <w:color w:val="000000"/>
                          <w:sz w:val="20"/>
                        </w:rPr>
                      </w:pPr>
                      <w:r>
                        <w:rPr>
                          <w:rFonts w:ascii="Times New Roman;serif" w:hAnsi="Times New Roman;serif"/>
                          <w:b w:val="false"/>
                          <w:color w:val="000000"/>
                          <w:sz w:val="20"/>
                        </w:rPr>
                        <w:t>2</w:t>
                      </w:r>
                    </w:p>
                    <w:p>
                      <w:pPr>
                        <w:pStyle w:val="TextBody"/>
                        <w:bidi w:val="0"/>
                        <w:spacing w:before="0" w:after="160"/>
                        <w:jc w:val="both"/>
                        <w:rPr/>
                      </w:pPr>
                      <w:r>
                        <w:rPr/>
                      </w:r>
                    </w:p>
                  </w:txbxContent>
                </v:textbox>
                <w10:wrap type="none"/>
              </v:rect>
            </w:pict>
          </mc:Fallback>
        </mc:AlternateContent>
      </w:r>
    </w:p>
    <w:p>
      <w:pPr>
        <w:pStyle w:val="TextBody"/>
        <w:bidi w:val="0"/>
        <w:spacing w:lineRule="auto" w:line="290" w:before="0" w:after="240"/>
        <w:ind w:left="0" w:right="0" w:hanging="360"/>
        <w:jc w:val="both"/>
        <w:rPr/>
      </w:pPr>
      <w:r>
        <w:rPr>
          <w:rFonts w:ascii="Times New Roman;serif" w:hAnsi="Times New Roman;serif"/>
          <w:b w:val="false"/>
          <w:color w:val="000000"/>
          <w:sz w:val="22"/>
        </w:rPr>
        <w:t>(a)</w:t>
      </w:r>
      <w:r>
        <w:rPr>
          <w:rFonts w:ascii="Times New Roman;serif" w:hAnsi="Times New Roman;serif"/>
          <w:b w:val="false"/>
          <w:color w:val="000000"/>
          <w:sz w:val="20"/>
          <w:u w:val="single"/>
        </w:rPr>
        <w:t>Below Threshold</w:t>
      </w:r>
      <w:r>
        <w:rPr>
          <w:rFonts w:ascii="Times New Roman;serif" w:hAnsi="Times New Roman;serif"/>
          <w:b w:val="false"/>
          <w:color w:val="000000"/>
          <w:sz w:val="20"/>
        </w:rPr>
        <w:t>. If, upon the conclusion of the Performance Period, FCF for the Performance Period is less than the lowest FCF level set forth in the FCF Matrix (i.e. is less than the Threshold level), _____ FCF PSUs will be earned.</w:t>
      </w:r>
    </w:p>
    <w:p>
      <w:pPr>
        <w:pStyle w:val="TextBody"/>
        <w:bidi w:val="0"/>
        <w:spacing w:lineRule="auto" w:line="290" w:before="0" w:after="240"/>
        <w:ind w:left="0" w:right="0" w:hanging="360"/>
        <w:jc w:val="both"/>
        <w:rPr/>
      </w:pPr>
      <w:r>
        <w:rPr>
          <w:rFonts w:ascii="Times New Roman;serif" w:hAnsi="Times New Roman;serif"/>
          <w:b w:val="false"/>
          <w:color w:val="000000"/>
          <w:sz w:val="22"/>
        </w:rPr>
        <w:t>(b)</w:t>
      </w:r>
      <w:r>
        <w:rPr>
          <w:rFonts w:ascii="Times New Roman;serif" w:hAnsi="Times New Roman;serif"/>
          <w:b w:val="false"/>
          <w:color w:val="000000"/>
          <w:sz w:val="20"/>
          <w:u w:val="single"/>
        </w:rPr>
        <w:t>Threshold or Above</w:t>
      </w:r>
      <w:r>
        <w:rPr>
          <w:rFonts w:ascii="Times New Roman;serif" w:hAnsi="Times New Roman;serif"/>
          <w:b w:val="false"/>
          <w:color w:val="000000"/>
          <w:sz w:val="20"/>
        </w:rPr>
        <w:t>. If, upon the conclusion of the Performance Period, FCF for the Performance Period is exactly equal to one of the Performance Goal levels set forth in the FCF Matrix, the percentage of FCF PSUs earned shall be equal to the percentage set forth opposite such Performance Goal level in the FCF Matrix. If, upon the conclusion of the Performance Period, FCF for the Performance Period falls between two Performance Goal levels set forth in the FCF Matrix, the percentage of FCF PSUs earned shall be based on straight-line mathematical interpolation between the percentages set forth opposite such Performance Goal levels (not to exceed _____%).</w:t>
      </w:r>
    </w:p>
    <w:p>
      <w:pPr>
        <w:pStyle w:val="TextBody"/>
        <w:bidi w:val="0"/>
        <w:spacing w:before="0" w:after="240"/>
        <w:ind w:left="0" w:right="0" w:firstLine="72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60"/>
        <w:jc w:val="right"/>
        <w:rPr/>
      </w:pPr>
      <w:r>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6480175" cy="455295"/>
                <wp:effectExtent l="0" t="0" r="0" b="0"/>
                <wp:wrapNone/>
                <wp:docPr id="191" name="Frame189"/>
                <a:graphic xmlns:a="http://schemas.openxmlformats.org/drawingml/2006/main">
                  <a:graphicData uri="http://schemas.microsoft.com/office/word/2010/wordprocessingShape">
                    <wps:wsp>
                      <wps:cNvSpPr txBox="1"/>
                      <wps:spPr>
                        <a:xfrm>
                          <a:off x="0" y="0"/>
                          <a:ext cx="6480175" cy="455295"/>
                        </a:xfrm>
                        <a:prstGeom prst="rect"/>
                        <a:solidFill>
                          <a:srgbClr val="FFFFFF"/>
                        </a:solidFill>
                      </wps:spPr>
                      <wps:txbx>
                        <w:txbxContent>
                          <w:p>
                            <w:pPr>
                              <w:pStyle w:val="TextBody"/>
                              <w:bidi w:val="0"/>
                              <w:spacing w:lineRule="auto" w:line="292" w:before="0" w:after="160"/>
                              <w:jc w:val="center"/>
                              <w:rPr>
                                <w:rFonts w:ascii="Times New Roman;serif" w:hAnsi="Times New Roman;serif"/>
                                <w:b w:val="false"/>
                                <w:color w:val="000000"/>
                                <w:sz w:val="20"/>
                              </w:rPr>
                            </w:pPr>
                            <w:r>
                              <w:rPr>
                                <w:rFonts w:ascii="Times New Roman;serif" w:hAnsi="Times New Roman;serif"/>
                                <w:b w:val="false"/>
                                <w:color w:val="000000"/>
                                <w:sz w:val="20"/>
                              </w:rPr>
                              <w:t>3</w:t>
                            </w:r>
                          </w:p>
                          <w:p>
                            <w:pPr>
                              <w:pStyle w:val="TextBody"/>
                              <w:bidi w:val="0"/>
                              <w:spacing w:before="0" w:after="16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8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92" w:before="0" w:after="160"/>
                        <w:jc w:val="center"/>
                        <w:rPr>
                          <w:rFonts w:ascii="Times New Roman;serif" w:hAnsi="Times New Roman;serif"/>
                          <w:b w:val="false"/>
                          <w:color w:val="000000"/>
                          <w:sz w:val="20"/>
                        </w:rPr>
                      </w:pPr>
                      <w:r>
                        <w:rPr>
                          <w:rFonts w:ascii="Times New Roman;serif" w:hAnsi="Times New Roman;serif"/>
                          <w:b w:val="false"/>
                          <w:color w:val="000000"/>
                          <w:sz w:val="20"/>
                        </w:rPr>
                        <w:t>3</w:t>
                      </w:r>
                    </w:p>
                    <w:p>
                      <w:pPr>
                        <w:pStyle w:val="TextBody"/>
                        <w:bidi w:val="0"/>
                        <w:spacing w:before="0" w:after="160"/>
                        <w:jc w:val="both"/>
                        <w:rPr/>
                      </w:pPr>
                      <w:r>
                        <w:rPr/>
                      </w:r>
                    </w:p>
                  </w:txbxContent>
                </v:textbox>
                <w10:wrap type="none"/>
              </v:rect>
            </w:pict>
          </mc:Fallback>
        </mc:AlternateContent>
      </w:r>
    </w:p>
    <w:p>
      <w:pPr>
        <w:pStyle w:val="TextBody"/>
        <w:bidi w:val="0"/>
        <w:spacing w:lineRule="auto" w:line="292" w:before="0" w:after="160"/>
        <w:jc w:val="right"/>
        <w:rPr>
          <w:rFonts w:ascii="Times New Roman;serif" w:hAnsi="Times New Roman;serif"/>
          <w:b/>
          <w:color w:val="000000"/>
          <w:sz w:val="20"/>
        </w:rPr>
      </w:pPr>
      <w:r>
        <w:rPr>
          <w:rFonts w:ascii="Times New Roman;serif" w:hAnsi="Times New Roman;serif"/>
          <w:b/>
          <w:color w:val="000000"/>
          <w:sz w:val="20"/>
        </w:rPr>
        <w:t>EXHIBIT 10.47</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SOTERA HEALTH COMPANY</w:t>
        <w:br/>
        <w:t>2020 OMNIBUS INCENTIVE PLAN</w:t>
      </w:r>
    </w:p>
    <w:p>
      <w:pPr>
        <w:pStyle w:val="TextBody"/>
        <w:bidi w:val="0"/>
        <w:spacing w:before="0" w:after="160"/>
        <w:jc w:val="both"/>
        <w:rPr/>
      </w:pPr>
      <w:r>
        <w:rPr/>
      </w:r>
    </w:p>
    <w:p>
      <w:pPr>
        <w:pStyle w:val="TextBody"/>
        <w:bidi w:val="0"/>
        <w:spacing w:lineRule="auto" w:line="292" w:before="0" w:after="240"/>
        <w:jc w:val="center"/>
        <w:rPr>
          <w:rFonts w:ascii="Times New Roman;serif" w:hAnsi="Times New Roman;serif"/>
          <w:b/>
          <w:color w:val="000000"/>
          <w:sz w:val="20"/>
          <w:u w:val="single"/>
        </w:rPr>
      </w:pPr>
      <w:r>
        <w:rPr>
          <w:rFonts w:ascii="Times New Roman;serif" w:hAnsi="Times New Roman;serif"/>
          <w:b/>
          <w:color w:val="000000"/>
          <w:sz w:val="20"/>
          <w:u w:val="single"/>
        </w:rPr>
        <w:t>PERFORMANCE SHARE UNIT GRANT NOTICE</w:t>
      </w:r>
    </w:p>
    <w:p>
      <w:pPr>
        <w:pStyle w:val="TextBody"/>
        <w:bidi w:val="0"/>
        <w:spacing w:lineRule="auto" w:line="288" w:before="0" w:after="240"/>
        <w:ind w:left="0" w:right="0" w:firstLine="720"/>
        <w:jc w:val="both"/>
        <w:rPr/>
      </w:pPr>
      <w:r>
        <w:rPr>
          <w:rFonts w:ascii="Times New Roman;serif" w:hAnsi="Times New Roman;serif"/>
          <w:b w:val="false"/>
          <w:color w:val="000000"/>
          <w:sz w:val="20"/>
        </w:rPr>
        <w:t>Sotera Health Company, a Delaware corporation (the “</w:t>
      </w:r>
      <w:r>
        <w:rPr>
          <w:rFonts w:ascii="Times New Roman;serif" w:hAnsi="Times New Roman;serif"/>
          <w:b w:val="false"/>
          <w:color w:val="000000"/>
          <w:sz w:val="20"/>
          <w:u w:val="single"/>
        </w:rPr>
        <w:t>Company</w:t>
      </w:r>
      <w:r>
        <w:rPr>
          <w:color w:val="000000"/>
        </w:rPr>
        <w:t>”</w:t>
      </w:r>
      <w:r>
        <w:rPr>
          <w:rFonts w:ascii="Times New Roman;serif" w:hAnsi="Times New Roman;serif"/>
          <w:b w:val="false"/>
          <w:color w:val="000000"/>
          <w:sz w:val="20"/>
        </w:rPr>
        <w:t>), pursuant to the Sotera Health Company 2020 Omnibus Incentive Plan and any applicable sub-plan for a particular country, as applicable (together, the “</w:t>
      </w:r>
      <w:r>
        <w:rPr>
          <w:rFonts w:ascii="Times New Roman;serif" w:hAnsi="Times New Roman;serif"/>
          <w:b w:val="false"/>
          <w:color w:val="000000"/>
          <w:sz w:val="20"/>
          <w:u w:val="single"/>
        </w:rPr>
        <w:t>Plan</w:t>
      </w:r>
      <w:r>
        <w:rPr>
          <w:color w:val="000000"/>
        </w:rPr>
        <w:t>”</w:t>
      </w:r>
      <w:r>
        <w:rPr>
          <w:rFonts w:ascii="Times New Roman;serif" w:hAnsi="Times New Roman;serif"/>
          <w:b w:val="false"/>
          <w:color w:val="000000"/>
          <w:sz w:val="20"/>
        </w:rPr>
        <w:t>), has granted to the participant set forth below (the “</w:t>
      </w:r>
      <w:r>
        <w:rPr>
          <w:rFonts w:ascii="Times New Roman;serif" w:hAnsi="Times New Roman;serif"/>
          <w:b w:val="false"/>
          <w:color w:val="000000"/>
          <w:sz w:val="20"/>
          <w:u w:val="single"/>
        </w:rPr>
        <w:t>Participant</w:t>
      </w:r>
      <w:r>
        <w:rPr>
          <w:color w:val="000000"/>
        </w:rPr>
        <w:t>”</w:t>
      </w:r>
      <w:r>
        <w:rPr>
          <w:rFonts w:ascii="Times New Roman;serif" w:hAnsi="Times New Roman;serif"/>
          <w:b w:val="false"/>
          <w:color w:val="000000"/>
          <w:sz w:val="20"/>
        </w:rPr>
        <w:t>), as of the date set forth below (the “</w:t>
      </w:r>
      <w:r>
        <w:rPr>
          <w:rFonts w:ascii="Times New Roman;serif" w:hAnsi="Times New Roman;serif"/>
          <w:b w:val="false"/>
          <w:color w:val="000000"/>
          <w:sz w:val="20"/>
          <w:u w:val="single"/>
        </w:rPr>
        <w:t>Date of Grant</w:t>
      </w:r>
      <w:r>
        <w:rPr>
          <w:color w:val="000000"/>
        </w:rPr>
        <w:t>”</w:t>
      </w:r>
      <w:r>
        <w:rPr>
          <w:rFonts w:ascii="Times New Roman;serif" w:hAnsi="Times New Roman;serif"/>
          <w:b w:val="false"/>
          <w:color w:val="000000"/>
          <w:sz w:val="20"/>
        </w:rPr>
        <w:t>), a performance-based Restricted Stock Unit award (also referred to as a “Performance Share Unit” award) covering the number of units set forth below, each of which represents one Share of the Company’s Common Stock (the “</w:t>
      </w:r>
      <w:r>
        <w:rPr>
          <w:rFonts w:ascii="Times New Roman;serif" w:hAnsi="Times New Roman;serif"/>
          <w:b w:val="false"/>
          <w:color w:val="000000"/>
          <w:sz w:val="20"/>
          <w:u w:val="single"/>
        </w:rPr>
        <w:t>PSUs</w:t>
      </w:r>
      <w:r>
        <w:rPr>
          <w:color w:val="000000"/>
        </w:rPr>
        <w:t>”</w:t>
      </w:r>
      <w:r>
        <w:rPr>
          <w:rFonts w:ascii="Times New Roman;serif" w:hAnsi="Times New Roman;serif"/>
          <w:b w:val="false"/>
          <w:color w:val="000000"/>
          <w:sz w:val="20"/>
        </w:rPr>
        <w:t>). The PSUs are subject to all of the terms and conditions set forth in this Performance Share Unit Grant Notice (the “</w:t>
      </w:r>
      <w:r>
        <w:rPr>
          <w:rFonts w:ascii="Times New Roman;serif" w:hAnsi="Times New Roman;serif"/>
          <w:b w:val="false"/>
          <w:color w:val="000000"/>
          <w:sz w:val="20"/>
          <w:u w:val="single"/>
        </w:rPr>
        <w:t>Grant Notice</w:t>
      </w:r>
      <w:r>
        <w:rPr>
          <w:color w:val="000000"/>
        </w:rPr>
        <w:t>”</w:t>
      </w:r>
      <w:r>
        <w:rPr>
          <w:rFonts w:ascii="Times New Roman;serif" w:hAnsi="Times New Roman;serif"/>
          <w:b w:val="false"/>
          <w:color w:val="000000"/>
          <w:sz w:val="20"/>
        </w:rPr>
        <w:t>), the Performance Share Unit Agreement (the “</w:t>
      </w:r>
      <w:r>
        <w:rPr>
          <w:rFonts w:ascii="Times New Roman;serif" w:hAnsi="Times New Roman;serif"/>
          <w:b w:val="false"/>
          <w:color w:val="000000"/>
          <w:sz w:val="20"/>
          <w:u w:val="single"/>
        </w:rPr>
        <w:t>PSU Agreement</w:t>
      </w:r>
      <w:r>
        <w:rPr>
          <w:color w:val="000000"/>
        </w:rPr>
        <w:t>”</w:t>
      </w:r>
      <w:r>
        <w:rPr>
          <w:rFonts w:ascii="Times New Roman;serif" w:hAnsi="Times New Roman;serif"/>
          <w:b w:val="false"/>
          <w:color w:val="000000"/>
          <w:sz w:val="20"/>
        </w:rPr>
        <w:t>), the Performance Memorandum (the “</w:t>
      </w:r>
      <w:r>
        <w:rPr>
          <w:rFonts w:ascii="Times New Roman;serif" w:hAnsi="Times New Roman;serif"/>
          <w:b w:val="false"/>
          <w:color w:val="000000"/>
          <w:sz w:val="20"/>
          <w:u w:val="single"/>
        </w:rPr>
        <w:t>Performance Memo</w:t>
      </w:r>
      <w:r>
        <w:rPr>
          <w:color w:val="000000"/>
        </w:rPr>
        <w:t>”</w:t>
      </w:r>
      <w:r>
        <w:rPr>
          <w:rFonts w:ascii="Times New Roman;serif" w:hAnsi="Times New Roman;serif"/>
          <w:b w:val="false"/>
          <w:color w:val="000000"/>
          <w:sz w:val="20"/>
        </w:rPr>
        <w:t>) and the Plan, each of which are being provided to you with this Grant Notice and incorporated herein in their entirety. Capitalized terms not explicitly defined in this Grant Notice but defined in the Plan, the PSU Agreement, or the Performance Memo will have the same definitions as in the Plan, the PSU Agreement, or the Performance Memo. In the event of any conflict between the terms of the Grant Notice and the Plan, the terms of the Plan will control.</w:t>
      </w:r>
    </w:p>
    <w:tbl>
      <w:tblPr>
        <w:tblW w:w="10205" w:type="dxa"/>
        <w:jc w:val="left"/>
        <w:tblInd w:w="0" w:type="dxa"/>
        <w:tblLayout w:type="fixed"/>
        <w:tblCellMar>
          <w:top w:w="28" w:type="dxa"/>
          <w:left w:w="28" w:type="dxa"/>
          <w:bottom w:w="28" w:type="dxa"/>
          <w:right w:w="28" w:type="dxa"/>
        </w:tblCellMar>
      </w:tblPr>
      <w:tblGrid>
        <w:gridCol w:w="683"/>
        <w:gridCol w:w="486"/>
        <w:gridCol w:w="489"/>
        <w:gridCol w:w="2502"/>
        <w:gridCol w:w="2502"/>
        <w:gridCol w:w="3543"/>
      </w:tblGrid>
      <w:tr>
        <w:trPr/>
        <w:tc>
          <w:tcPr>
            <w:tcW w:w="683"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sz w:val="4"/>
                <w:szCs w:val="4"/>
              </w:rPr>
            </w:pPr>
            <w:r>
              <w:rPr>
                <w:sz w:val="4"/>
                <w:szCs w:val="4"/>
              </w:rPr>
            </w:r>
          </w:p>
        </w:tc>
        <w:tc>
          <w:tcPr>
            <w:tcW w:w="3543" w:type="dxa"/>
            <w:tcBorders/>
            <w:vAlign w:val="center"/>
          </w:tcPr>
          <w:p>
            <w:pPr>
              <w:pStyle w:val="TableContents"/>
              <w:bidi w:val="0"/>
              <w:spacing w:before="0" w:after="283"/>
              <w:jc w:val="left"/>
              <w:rPr>
                <w:sz w:val="4"/>
                <w:szCs w:val="4"/>
              </w:rPr>
            </w:pPr>
            <w:r>
              <w:rPr>
                <w:sz w:val="4"/>
                <w:szCs w:val="4"/>
              </w:rPr>
            </w:r>
          </w:p>
        </w:tc>
      </w:tr>
      <w:tr>
        <w:trPr/>
        <w:tc>
          <w:tcPr>
            <w:tcW w:w="1658" w:type="dxa"/>
            <w:gridSpan w:val="3"/>
            <w:tcBorders/>
            <w:tcMar>
              <w:top w:w="0" w:type="dxa"/>
              <w:left w:w="0" w:type="dxa"/>
              <w:bottom w:w="0" w:type="dxa"/>
              <w:right w:w="0" w:type="dxa"/>
            </w:tcMar>
            <w:vAlign w:val="center"/>
          </w:tcPr>
          <w:p>
            <w:pPr>
              <w:pStyle w:val="TableContents"/>
              <w:bidi w:val="0"/>
              <w:spacing w:lineRule="auto" w:line="290" w:before="0" w:after="240"/>
              <w:jc w:val="left"/>
              <w:rPr/>
            </w:pPr>
            <w:r>
              <w:rPr>
                <w:rFonts w:ascii="Times New Roman;serif" w:hAnsi="Times New Roman;serif"/>
                <w:b/>
                <w:color w:val="000000"/>
                <w:sz w:val="22"/>
              </w:rPr>
              <w:t>1.</w:t>
            </w:r>
            <w:r>
              <w:rPr>
                <w:rFonts w:ascii="Times New Roman;serif" w:hAnsi="Times New Roman;serif"/>
                <w:b/>
                <w:color w:val="000000"/>
                <w:sz w:val="20"/>
              </w:rPr>
              <w:t>Participant:</w:t>
            </w:r>
          </w:p>
        </w:tc>
        <w:tc>
          <w:tcPr>
            <w:tcW w:w="8547" w:type="dxa"/>
            <w:gridSpan w:val="3"/>
            <w:tcBorders/>
            <w:tcMar>
              <w:top w:w="0" w:type="dxa"/>
              <w:left w:w="0" w:type="dxa"/>
              <w:bottom w:w="0" w:type="dxa"/>
              <w:right w:w="0" w:type="dxa"/>
            </w:tcMar>
            <w:vAlign w:val="center"/>
          </w:tcPr>
          <w:p>
            <w:pPr>
              <w:pStyle w:val="TableContents"/>
              <w:bidi w:val="0"/>
              <w:spacing w:lineRule="auto" w:line="292" w:before="0" w:after="240"/>
              <w:jc w:val="both"/>
              <w:rPr>
                <w:rFonts w:ascii="Times New Roman;serif" w:hAnsi="Times New Roman;serif"/>
                <w:b w:val="false"/>
                <w:color w:val="000000"/>
                <w:sz w:val="20"/>
              </w:rPr>
            </w:pPr>
            <w:r>
              <w:rPr>
                <w:rFonts w:ascii="Times New Roman;serif" w:hAnsi="Times New Roman;serif"/>
                <w:b w:val="false"/>
                <w:color w:val="000000"/>
                <w:sz w:val="20"/>
              </w:rPr>
              <w:t>__________</w:t>
            </w:r>
          </w:p>
        </w:tc>
      </w:tr>
      <w:tr>
        <w:trPr/>
        <w:tc>
          <w:tcPr>
            <w:tcW w:w="1658" w:type="dxa"/>
            <w:gridSpan w:val="3"/>
            <w:tcBorders/>
            <w:tcMar>
              <w:top w:w="0" w:type="dxa"/>
              <w:left w:w="0" w:type="dxa"/>
              <w:bottom w:w="0" w:type="dxa"/>
              <w:right w:w="0" w:type="dxa"/>
            </w:tcMar>
            <w:vAlign w:val="center"/>
          </w:tcPr>
          <w:p>
            <w:pPr>
              <w:pStyle w:val="TableContents"/>
              <w:bidi w:val="0"/>
              <w:spacing w:lineRule="auto" w:line="290" w:before="0" w:after="240"/>
              <w:jc w:val="left"/>
              <w:rPr/>
            </w:pPr>
            <w:r>
              <w:rPr>
                <w:rFonts w:ascii="Times New Roman;serif" w:hAnsi="Times New Roman;serif"/>
                <w:b/>
                <w:color w:val="000000"/>
                <w:sz w:val="22"/>
              </w:rPr>
              <w:t>2.</w:t>
            </w:r>
            <w:r>
              <w:rPr>
                <w:rFonts w:ascii="Times New Roman;serif" w:hAnsi="Times New Roman;serif"/>
                <w:b/>
                <w:color w:val="000000"/>
                <w:sz w:val="20"/>
              </w:rPr>
              <w:t>Date of Grant:</w:t>
            </w:r>
          </w:p>
        </w:tc>
        <w:tc>
          <w:tcPr>
            <w:tcW w:w="8547" w:type="dxa"/>
            <w:gridSpan w:val="3"/>
            <w:tcBorders/>
            <w:tcMar>
              <w:top w:w="0" w:type="dxa"/>
              <w:left w:w="0" w:type="dxa"/>
              <w:bottom w:w="0" w:type="dxa"/>
              <w:right w:w="0" w:type="dxa"/>
            </w:tcMar>
            <w:vAlign w:val="center"/>
          </w:tcPr>
          <w:p>
            <w:pPr>
              <w:pStyle w:val="TableContents"/>
              <w:bidi w:val="0"/>
              <w:spacing w:lineRule="auto" w:line="292" w:before="0" w:after="240"/>
              <w:jc w:val="both"/>
              <w:rPr>
                <w:rFonts w:ascii="Times New Roman;serif" w:hAnsi="Times New Roman;serif"/>
                <w:b w:val="false"/>
                <w:color w:val="000000"/>
                <w:sz w:val="20"/>
              </w:rPr>
            </w:pPr>
            <w:r>
              <w:rPr>
                <w:rFonts w:ascii="Times New Roman;serif" w:hAnsi="Times New Roman;serif"/>
                <w:b w:val="false"/>
                <w:color w:val="000000"/>
                <w:sz w:val="20"/>
              </w:rPr>
              <w:t>__________</w:t>
            </w:r>
          </w:p>
        </w:tc>
      </w:tr>
      <w:tr>
        <w:trPr/>
        <w:tc>
          <w:tcPr>
            <w:tcW w:w="1658" w:type="dxa"/>
            <w:gridSpan w:val="3"/>
            <w:tcBorders/>
            <w:tcMar>
              <w:top w:w="0" w:type="dxa"/>
              <w:left w:w="0" w:type="dxa"/>
              <w:bottom w:w="0" w:type="dxa"/>
              <w:right w:w="0" w:type="dxa"/>
            </w:tcMar>
            <w:vAlign w:val="center"/>
          </w:tcPr>
          <w:p>
            <w:pPr>
              <w:pStyle w:val="TableContents"/>
              <w:bidi w:val="0"/>
              <w:spacing w:lineRule="auto" w:line="290" w:before="0" w:after="0"/>
              <w:jc w:val="left"/>
              <w:rPr/>
            </w:pPr>
            <w:r>
              <w:rPr>
                <w:rFonts w:ascii="Times New Roman;serif" w:hAnsi="Times New Roman;serif"/>
                <w:b/>
                <w:color w:val="000000"/>
                <w:sz w:val="22"/>
              </w:rPr>
              <w:t>3.</w:t>
            </w:r>
            <w:r>
              <w:rPr>
                <w:rFonts w:ascii="Times New Roman;serif" w:hAnsi="Times New Roman;serif"/>
                <w:b/>
                <w:color w:val="000000"/>
                <w:sz w:val="20"/>
              </w:rPr>
              <w:t>Performance Period: (the “</w:t>
            </w:r>
            <w:r>
              <w:rPr>
                <w:rFonts w:ascii="Times New Roman;serif" w:hAnsi="Times New Roman;serif"/>
                <w:b/>
                <w:color w:val="000000"/>
                <w:sz w:val="20"/>
                <w:u w:val="single"/>
              </w:rPr>
              <w:t>Performance Period</w:t>
            </w:r>
            <w:r>
              <w:rPr>
                <w:color w:val="000000"/>
              </w:rPr>
              <w:t>”</w:t>
            </w:r>
            <w:r>
              <w:rPr>
                <w:rFonts w:ascii="Times New Roman;serif" w:hAnsi="Times New Roman;serif"/>
                <w:b/>
                <w:color w:val="000000"/>
                <w:sz w:val="20"/>
              </w:rPr>
              <w:t>)</w:t>
            </w:r>
          </w:p>
        </w:tc>
        <w:tc>
          <w:tcPr>
            <w:tcW w:w="8547" w:type="dxa"/>
            <w:gridSpan w:val="3"/>
            <w:tcBorders/>
            <w:tcMar>
              <w:top w:w="0" w:type="dxa"/>
              <w:left w:w="0" w:type="dxa"/>
              <w:bottom w:w="0" w:type="dxa"/>
              <w:right w:w="0" w:type="dxa"/>
            </w:tcMar>
            <w:vAlign w:val="center"/>
          </w:tcPr>
          <w:p>
            <w:pPr>
              <w:pStyle w:val="TableContents"/>
              <w:bidi w:val="0"/>
              <w:spacing w:lineRule="auto" w:line="292"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__________ through __________ </w:t>
            </w:r>
          </w:p>
        </w:tc>
      </w:tr>
      <w:tr>
        <w:trPr/>
        <w:tc>
          <w:tcPr>
            <w:tcW w:w="1658" w:type="dxa"/>
            <w:gridSpan w:val="3"/>
            <w:tcBorders/>
            <w:tcMar>
              <w:top w:w="0" w:type="dxa"/>
              <w:left w:w="0" w:type="dxa"/>
              <w:bottom w:w="0" w:type="dxa"/>
              <w:right w:w="0" w:type="dxa"/>
            </w:tcMar>
            <w:vAlign w:val="center"/>
          </w:tcPr>
          <w:p>
            <w:pPr>
              <w:pStyle w:val="TableContents"/>
              <w:bidi w:val="0"/>
              <w:spacing w:lineRule="auto" w:line="292" w:before="0" w:after="0"/>
              <w:jc w:val="left"/>
              <w:rPr/>
            </w:pPr>
            <w:r>
              <w:rPr>
                <w:rFonts w:ascii="Times New Roman;serif" w:hAnsi="Times New Roman;serif"/>
                <w:b/>
                <w:color w:val="000000"/>
                <w:sz w:val="22"/>
              </w:rPr>
              <w:t>4.</w:t>
            </w:r>
            <w:r>
              <w:rPr>
                <w:rFonts w:ascii="Times New Roman;serif" w:hAnsi="Times New Roman;serif"/>
                <w:b/>
                <w:color w:val="000000"/>
                <w:sz w:val="20"/>
              </w:rPr>
              <w:t>Number of PSUs (“</w:t>
            </w:r>
            <w:r>
              <w:rPr>
                <w:rFonts w:ascii="Times New Roman;serif" w:hAnsi="Times New Roman;serif"/>
                <w:b/>
                <w:color w:val="000000"/>
                <w:sz w:val="20"/>
                <w:u w:val="single"/>
              </w:rPr>
              <w:t>Target</w:t>
            </w:r>
            <w:r>
              <w:rPr>
                <w:color w:val="000000"/>
              </w:rPr>
              <w:t>”</w:t>
            </w:r>
            <w:r>
              <w:rPr>
                <w:rFonts w:ascii="Times New Roman;serif" w:hAnsi="Times New Roman;serif"/>
                <w:b/>
                <w:color w:val="000000"/>
                <w:sz w:val="20"/>
              </w:rPr>
              <w:t>):</w:t>
            </w:r>
          </w:p>
        </w:tc>
        <w:tc>
          <w:tcPr>
            <w:tcW w:w="8547" w:type="dxa"/>
            <w:gridSpan w:val="3"/>
            <w:tcBorders/>
            <w:tcMar>
              <w:top w:w="0" w:type="dxa"/>
              <w:left w:w="0" w:type="dxa"/>
              <w:bottom w:w="0" w:type="dxa"/>
              <w:right w:w="0" w:type="dxa"/>
            </w:tcMar>
            <w:vAlign w:val="center"/>
          </w:tcPr>
          <w:p>
            <w:pPr>
              <w:pStyle w:val="TableContents"/>
              <w:bidi w:val="0"/>
              <w:spacing w:before="0" w:after="0"/>
              <w:jc w:val="both"/>
              <w:rPr/>
            </w:pPr>
            <w:r>
              <w:rPr/>
            </w:r>
          </w:p>
          <w:p>
            <w:pPr>
              <w:pStyle w:val="TableContents"/>
              <w:bidi w:val="0"/>
              <w:spacing w:lineRule="auto" w:line="292" w:before="0" w:after="240"/>
              <w:jc w:val="both"/>
              <w:rPr>
                <w:rFonts w:ascii="Times New Roman;serif" w:hAnsi="Times New Roman;serif"/>
                <w:b w:val="false"/>
                <w:color w:val="000000"/>
                <w:sz w:val="20"/>
              </w:rPr>
            </w:pPr>
            <w:r>
              <w:rPr>
                <w:rFonts w:ascii="Times New Roman;serif" w:hAnsi="Times New Roman;serif"/>
                <w:b w:val="false"/>
                <w:color w:val="000000"/>
                <w:sz w:val="20"/>
              </w:rPr>
              <w:t>__________</w:t>
            </w:r>
          </w:p>
        </w:tc>
      </w:tr>
      <w:tr>
        <w:trPr/>
        <w:tc>
          <w:tcPr>
            <w:tcW w:w="1658" w:type="dxa"/>
            <w:gridSpan w:val="3"/>
            <w:tcBorders/>
            <w:tcMar>
              <w:top w:w="0" w:type="dxa"/>
              <w:left w:w="0" w:type="dxa"/>
              <w:bottom w:w="0" w:type="dxa"/>
              <w:right w:w="0" w:type="dxa"/>
            </w:tcMar>
            <w:vAlign w:val="center"/>
          </w:tcPr>
          <w:p>
            <w:pPr>
              <w:pStyle w:val="TableContents"/>
              <w:bidi w:val="0"/>
              <w:spacing w:lineRule="auto" w:line="290" w:before="0" w:after="240"/>
              <w:jc w:val="left"/>
              <w:rPr/>
            </w:pPr>
            <w:r>
              <w:rPr>
                <w:rFonts w:ascii="Times New Roman;serif" w:hAnsi="Times New Roman;serif"/>
                <w:b/>
                <w:color w:val="000000"/>
                <w:sz w:val="22"/>
              </w:rPr>
              <w:t>5.</w:t>
            </w:r>
            <w:r>
              <w:rPr>
                <w:rFonts w:ascii="Times New Roman;serif" w:hAnsi="Times New Roman;serif"/>
                <w:b/>
                <w:color w:val="000000"/>
                <w:sz w:val="20"/>
              </w:rPr>
              <w:t>Normal Vesting:</w:t>
            </w:r>
          </w:p>
        </w:tc>
        <w:tc>
          <w:tcPr>
            <w:tcW w:w="8547" w:type="dxa"/>
            <w:gridSpan w:val="3"/>
            <w:tcBorders/>
            <w:tcMar>
              <w:top w:w="0" w:type="dxa"/>
              <w:left w:w="0" w:type="dxa"/>
              <w:bottom w:w="0" w:type="dxa"/>
              <w:right w:w="0" w:type="dxa"/>
            </w:tcMar>
            <w:vAlign w:val="center"/>
          </w:tcPr>
          <w:p>
            <w:pPr>
              <w:pStyle w:val="TableContents"/>
              <w:bidi w:val="0"/>
              <w:spacing w:lineRule="auto" w:line="288" w:before="0" w:after="240"/>
              <w:jc w:val="both"/>
              <w:rPr/>
            </w:pPr>
            <w:r>
              <w:rPr>
                <w:rFonts w:ascii="Times New Roman;serif" w:hAnsi="Times New Roman;serif"/>
                <w:b w:val="false"/>
                <w:color w:val="000000"/>
                <w:sz w:val="20"/>
              </w:rPr>
              <w:t>Except as otherwise designated in this Grant Notice, the PSUs will vest at the end of the Performance Period equal to the number of PSUs earned on the basis of the relative achievement of the applicable performance goals (the “</w:t>
            </w:r>
            <w:r>
              <w:rPr>
                <w:rFonts w:ascii="Times New Roman;serif" w:hAnsi="Times New Roman;serif"/>
                <w:b w:val="false"/>
                <w:color w:val="000000"/>
                <w:sz w:val="20"/>
                <w:u w:val="single"/>
              </w:rPr>
              <w:t>Performance Goals</w:t>
            </w:r>
            <w:r>
              <w:rPr>
                <w:color w:val="000000"/>
              </w:rPr>
              <w:t>”</w:t>
            </w:r>
            <w:r>
              <w:rPr>
                <w:rFonts w:ascii="Times New Roman;serif" w:hAnsi="Times New Roman;serif"/>
                <w:b w:val="false"/>
                <w:color w:val="000000"/>
                <w:sz w:val="20"/>
              </w:rPr>
              <w:t xml:space="preserve">) as set forth in the Performance Memo and approved by the Committee for the PSUs for the Performance Period if the Participant’s Continuous Service Status continues through the last day of the Performance Period. Any PSUs that have not vested as provided herein at the end of the Performance Period will be forfeited automatically and without further notice after the end of the Performance Period. </w:t>
            </w:r>
          </w:p>
        </w:tc>
      </w:tr>
      <w:tr>
        <w:trPr/>
        <w:tc>
          <w:tcPr>
            <w:tcW w:w="1658" w:type="dxa"/>
            <w:gridSpan w:val="3"/>
            <w:tcBorders/>
            <w:tcMar>
              <w:top w:w="0" w:type="dxa"/>
              <w:left w:w="0" w:type="dxa"/>
              <w:bottom w:w="0" w:type="dxa"/>
              <w:right w:w="0" w:type="dxa"/>
            </w:tcMar>
            <w:vAlign w:val="center"/>
          </w:tcPr>
          <w:p>
            <w:pPr>
              <w:pStyle w:val="TableContents"/>
              <w:bidi w:val="0"/>
              <w:spacing w:lineRule="auto" w:line="290" w:before="0" w:after="240"/>
              <w:jc w:val="left"/>
              <w:rPr/>
            </w:pPr>
            <w:r>
              <w:rPr>
                <w:rFonts w:ascii="Times New Roman;serif" w:hAnsi="Times New Roman;serif"/>
                <w:b/>
                <w:color w:val="000000"/>
                <w:sz w:val="22"/>
              </w:rPr>
              <w:t>6.</w:t>
            </w:r>
            <w:r>
              <w:rPr>
                <w:rFonts w:ascii="Times New Roman;serif" w:hAnsi="Times New Roman;serif"/>
                <w:b/>
                <w:color w:val="000000"/>
                <w:sz w:val="20"/>
              </w:rPr>
              <w:t>Termination of Continuous Service Status:</w:t>
            </w:r>
          </w:p>
        </w:tc>
        <w:tc>
          <w:tcPr>
            <w:tcW w:w="8547" w:type="dxa"/>
            <w:gridSpan w:val="3"/>
            <w:tcBorders/>
            <w:tcMar>
              <w:top w:w="0" w:type="dxa"/>
              <w:left w:w="0" w:type="dxa"/>
              <w:bottom w:w="0" w:type="dxa"/>
              <w:right w:w="0" w:type="dxa"/>
            </w:tcMar>
            <w:vAlign w:val="center"/>
          </w:tcPr>
          <w:p>
            <w:pPr>
              <w:pStyle w:val="TableContents"/>
              <w:bidi w:val="0"/>
              <w:spacing w:lineRule="auto" w:line="288" w:before="240" w:after="240"/>
              <w:jc w:val="both"/>
              <w:rPr/>
            </w:pPr>
            <w:r>
              <w:rPr>
                <w:rFonts w:ascii="Times New Roman;serif" w:hAnsi="Times New Roman;serif"/>
                <w:b w:val="false"/>
                <w:color w:val="000000"/>
                <w:sz w:val="20"/>
              </w:rPr>
              <w:t>In the event that the Participant’s Continuous Service Status is terminated for any reason,</w:t>
            </w:r>
            <w:r>
              <w:rPr>
                <w:color w:val="000000"/>
              </w:rPr>
              <w:t xml:space="preserve"> </w:t>
            </w:r>
            <w:r>
              <w:rPr>
                <w:rFonts w:ascii="Times New Roman;serif" w:hAnsi="Times New Roman;serif"/>
                <w:b w:val="false"/>
                <w:color w:val="000000"/>
                <w:sz w:val="20"/>
              </w:rPr>
              <w:t>other than as provided in Sections 7 and 8 of this Grant Notice, on or prior to the last day of the Performance Period, the PSUs shall be forfeited automatically for no consideration.</w:t>
            </w:r>
          </w:p>
        </w:tc>
      </w:tr>
    </w:tbl>
    <w:p>
      <w:pPr>
        <w:pStyle w:val="TextBody"/>
        <w:bidi w:val="0"/>
        <w:spacing w:before="0" w:after="0"/>
        <w:ind w:left="0" w:right="0" w:firstLine="720"/>
        <w:jc w:val="right"/>
        <w:rPr/>
      </w:pPr>
      <w:r>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480175" cy="175260"/>
                <wp:effectExtent l="0" t="0" r="0" b="0"/>
                <wp:wrapNone/>
                <wp:docPr id="192" name="Frame19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160"/>
                        <w:jc w:val="both"/>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466"/>
        <w:gridCol w:w="410"/>
        <w:gridCol w:w="413"/>
        <w:gridCol w:w="2611"/>
        <w:gridCol w:w="2611"/>
        <w:gridCol w:w="3694"/>
      </w:tblGrid>
      <w:tr>
        <w:trPr/>
        <w:tc>
          <w:tcPr>
            <w:tcW w:w="466"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611" w:type="dxa"/>
            <w:tcBorders/>
            <w:vAlign w:val="center"/>
          </w:tcPr>
          <w:p>
            <w:pPr>
              <w:pStyle w:val="TableContents"/>
              <w:bidi w:val="0"/>
              <w:spacing w:before="0" w:after="283"/>
              <w:jc w:val="left"/>
              <w:rPr>
                <w:sz w:val="4"/>
                <w:szCs w:val="4"/>
              </w:rPr>
            </w:pPr>
            <w:r>
              <w:rPr>
                <w:sz w:val="4"/>
                <w:szCs w:val="4"/>
              </w:rPr>
            </w:r>
          </w:p>
        </w:tc>
        <w:tc>
          <w:tcPr>
            <w:tcW w:w="2611" w:type="dxa"/>
            <w:tcBorders/>
            <w:vAlign w:val="center"/>
          </w:tcPr>
          <w:p>
            <w:pPr>
              <w:pStyle w:val="TableContents"/>
              <w:bidi w:val="0"/>
              <w:spacing w:before="0" w:after="283"/>
              <w:jc w:val="left"/>
              <w:rPr>
                <w:sz w:val="4"/>
                <w:szCs w:val="4"/>
              </w:rPr>
            </w:pPr>
            <w:r>
              <w:rPr>
                <w:sz w:val="4"/>
                <w:szCs w:val="4"/>
              </w:rPr>
            </w:r>
          </w:p>
        </w:tc>
        <w:tc>
          <w:tcPr>
            <w:tcW w:w="3694" w:type="dxa"/>
            <w:tcBorders/>
            <w:vAlign w:val="center"/>
          </w:tcPr>
          <w:p>
            <w:pPr>
              <w:pStyle w:val="TableContents"/>
              <w:bidi w:val="0"/>
              <w:spacing w:before="0" w:after="283"/>
              <w:jc w:val="left"/>
              <w:rPr>
                <w:sz w:val="4"/>
                <w:szCs w:val="4"/>
              </w:rPr>
            </w:pPr>
            <w:r>
              <w:rPr>
                <w:sz w:val="4"/>
                <w:szCs w:val="4"/>
              </w:rPr>
            </w:r>
          </w:p>
        </w:tc>
      </w:tr>
      <w:tr>
        <w:trPr/>
        <w:tc>
          <w:tcPr>
            <w:tcW w:w="1289" w:type="dxa"/>
            <w:gridSpan w:val="3"/>
            <w:tcBorders/>
            <w:tcMar>
              <w:top w:w="0" w:type="dxa"/>
              <w:left w:w="0" w:type="dxa"/>
              <w:bottom w:w="0" w:type="dxa"/>
              <w:right w:w="0" w:type="dxa"/>
            </w:tcMar>
            <w:vAlign w:val="center"/>
          </w:tcPr>
          <w:p>
            <w:pPr>
              <w:pStyle w:val="TableContents"/>
              <w:bidi w:val="0"/>
              <w:spacing w:lineRule="auto" w:line="290" w:before="0" w:after="240"/>
              <w:jc w:val="both"/>
              <w:rPr/>
            </w:pPr>
            <w:r>
              <w:rPr>
                <w:rFonts w:ascii="Times New Roman;serif" w:hAnsi="Times New Roman;serif"/>
                <w:b/>
                <w:color w:val="000000"/>
                <w:sz w:val="22"/>
              </w:rPr>
              <w:t>7.</w:t>
            </w:r>
            <w:r>
              <w:rPr>
                <w:rFonts w:ascii="Times New Roman;serif" w:hAnsi="Times New Roman;serif"/>
                <w:b/>
                <w:color w:val="000000"/>
                <w:sz w:val="20"/>
              </w:rPr>
              <w:t>Alternative Vesting Schedule</w:t>
            </w:r>
          </w:p>
        </w:tc>
        <w:tc>
          <w:tcPr>
            <w:tcW w:w="8916" w:type="dxa"/>
            <w:gridSpan w:val="3"/>
            <w:tcBorders/>
            <w:tcMar>
              <w:top w:w="0" w:type="dxa"/>
              <w:left w:w="0" w:type="dxa"/>
              <w:bottom w:w="0" w:type="dxa"/>
              <w:right w:w="0" w:type="dxa"/>
            </w:tcMar>
            <w:vAlign w:val="center"/>
          </w:tcPr>
          <w:p>
            <w:pPr>
              <w:pStyle w:val="TableContents"/>
              <w:bidi w:val="0"/>
              <w:spacing w:lineRule="auto" w:line="288" w:before="0" w:after="240"/>
              <w:ind w:left="0" w:right="0" w:hanging="346"/>
              <w:jc w:val="both"/>
              <w:rPr/>
            </w:pPr>
            <w:r>
              <w:rPr>
                <w:rFonts w:ascii="Times New Roman;serif" w:hAnsi="Times New Roman;serif"/>
                <w:b w:val="false"/>
                <w:color w:val="000000"/>
                <w:sz w:val="20"/>
              </w:rPr>
              <w:t>(a)</w:t>
            </w:r>
            <w:r>
              <w:rPr>
                <w:rFonts w:ascii="Times New Roman;serif" w:hAnsi="Times New Roman;serif"/>
                <w:b w:val="false"/>
                <w:i/>
                <w:color w:val="000000"/>
                <w:sz w:val="20"/>
              </w:rPr>
              <w:t>Death and Disability</w:t>
            </w:r>
            <w:r>
              <w:rPr>
                <w:rFonts w:ascii="Times New Roman;serif" w:hAnsi="Times New Roman;serif"/>
                <w:b w:val="false"/>
                <w:color w:val="000000"/>
                <w:sz w:val="20"/>
              </w:rPr>
              <w:t xml:space="preserve">. If Participant’s Continuous Service Status is terminated by reason of Participant’s death or Disability before the last day of the Performance Period and the last day of the Performance Period would have occurred during the 2-year period immediately following the date of such termination, the outstanding and unvested PSUs will be deemed earned and vested in the Target number of PSUs as of the date of such termination and any PSUs that do not vest upon such termination of Continuous Service Status shall terminate and be forfeited. </w:t>
            </w:r>
          </w:p>
          <w:p>
            <w:pPr>
              <w:pStyle w:val="TableContents"/>
              <w:bidi w:val="0"/>
              <w:spacing w:lineRule="auto" w:line="288" w:before="0" w:after="240"/>
              <w:ind w:left="0" w:right="0" w:hanging="346"/>
              <w:jc w:val="both"/>
              <w:rPr/>
            </w:pPr>
            <w:r>
              <w:rPr>
                <w:rFonts w:ascii="Times New Roman;serif" w:hAnsi="Times New Roman;serif"/>
                <w:b w:val="false"/>
                <w:color w:val="000000"/>
                <w:sz w:val="20"/>
              </w:rPr>
              <w:t>(b)</w:t>
            </w:r>
            <w:r>
              <w:rPr>
                <w:rFonts w:ascii="Times New Roman;serif" w:hAnsi="Times New Roman;serif"/>
                <w:b w:val="false"/>
                <w:i/>
                <w:color w:val="000000"/>
                <w:sz w:val="20"/>
              </w:rPr>
              <w:t>Retirement</w:t>
            </w:r>
            <w:r>
              <w:rPr>
                <w:rFonts w:ascii="Times New Roman;serif" w:hAnsi="Times New Roman;serif"/>
                <w:b w:val="false"/>
                <w:color w:val="000000"/>
                <w:sz w:val="20"/>
              </w:rPr>
              <w:t xml:space="preserve">. If Participant’s Continuous Service Status is terminated by Participant after the first anniversary of the Date of Grant but before the last day of the Performance Period due to Participant’s Retirement, the outstanding unvested PSUs will be deemed earned and vested in the Target number of PSUs as of the date of such termination and any PSUs that do not vest upon such termination of Continuous Service Status shall terminate and be forfeited. </w:t>
            </w:r>
          </w:p>
          <w:p>
            <w:pPr>
              <w:pStyle w:val="TableContents"/>
              <w:bidi w:val="0"/>
              <w:spacing w:lineRule="auto" w:line="288" w:before="0" w:after="240"/>
              <w:jc w:val="both"/>
              <w:rPr/>
            </w:pPr>
            <w:r>
              <w:rPr>
                <w:rFonts w:ascii="Times New Roman;serif" w:hAnsi="Times New Roman;serif"/>
                <w:b w:val="false"/>
                <w:color w:val="000000"/>
                <w:sz w:val="20"/>
              </w:rPr>
              <w:t>For purposes of this Grant Notice, “</w:t>
            </w:r>
            <w:r>
              <w:rPr>
                <w:rFonts w:ascii="Times New Roman;serif" w:hAnsi="Times New Roman;serif"/>
                <w:b w:val="false"/>
                <w:color w:val="000000"/>
                <w:sz w:val="20"/>
                <w:u w:val="single"/>
              </w:rPr>
              <w:t>Retirement</w:t>
            </w:r>
            <w:r>
              <w:rPr>
                <w:color w:val="000000"/>
              </w:rPr>
              <w:t xml:space="preserve">” </w:t>
            </w:r>
            <w:r>
              <w:rPr>
                <w:rFonts w:ascii="Times New Roman;serif" w:hAnsi="Times New Roman;serif"/>
                <w:b w:val="false"/>
                <w:color w:val="000000"/>
                <w:sz w:val="20"/>
              </w:rPr>
              <w:t>means termination of Participant’s Continuous Service Status after the date on which the sum of Participant’s age and years of Continuous Service Status with the Company is equal to or greater than 65.</w:t>
            </w:r>
          </w:p>
          <w:p>
            <w:pPr>
              <w:pStyle w:val="TableContents"/>
              <w:bidi w:val="0"/>
              <w:spacing w:lineRule="auto" w:line="288" w:before="0" w:after="240"/>
              <w:ind w:left="0" w:right="0" w:hanging="346"/>
              <w:jc w:val="both"/>
              <w:rPr/>
            </w:pPr>
            <w:r>
              <w:rPr>
                <w:rFonts w:ascii="Times New Roman;serif" w:hAnsi="Times New Roman;serif"/>
                <w:b w:val="false"/>
                <w:color w:val="000000"/>
                <w:sz w:val="20"/>
              </w:rPr>
              <w:t>(c)</w:t>
            </w:r>
            <w:r>
              <w:rPr>
                <w:rFonts w:ascii="Times New Roman;serif" w:hAnsi="Times New Roman;serif"/>
                <w:b w:val="false"/>
                <w:i/>
                <w:color w:val="000000"/>
                <w:sz w:val="20"/>
              </w:rPr>
              <w:t>Qualifying Terminations Prior to a Change in Control</w:t>
            </w:r>
            <w:r>
              <w:rPr>
                <w:rFonts w:ascii="Times New Roman;serif" w:hAnsi="Times New Roman;serif"/>
                <w:b w:val="false"/>
                <w:color w:val="000000"/>
                <w:sz w:val="20"/>
              </w:rPr>
              <w:t>. If Participant’s Continuous Service Status is terminated by the Company without Cause or terminated by Participant for Good Reason, in each case, prior to (or more than 12 months after) a Change in Control and before the last day of the Performance Period and the last day of the Performance Period would have occurred during the 2-year period immediately following the date of such termination, the outstanding and unvested PSUs will be deemed earned and vested in the Target number of PSUs as of the date of such termination, subject to Participant satisfying the Release Requirement, and any PSUs that do not vest upon such termination of Continuous Service Status shall terminate and be forfeited.</w:t>
            </w:r>
          </w:p>
          <w:p>
            <w:pPr>
              <w:pStyle w:val="TableContents"/>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For the purposes of this Grant Notice:</w:t>
            </w:r>
          </w:p>
          <w:p>
            <w:pPr>
              <w:pStyle w:val="TableContents"/>
              <w:bidi w:val="0"/>
              <w:spacing w:lineRule="auto" w:line="288" w:before="0" w:after="240"/>
              <w:ind w:left="0" w:right="0" w:hanging="360"/>
              <w:jc w:val="both"/>
              <w:rPr/>
            </w:pPr>
            <w:r>
              <w:rPr>
                <w:rFonts w:ascii="Times New Roman;serif" w:hAnsi="Times New Roman;serif"/>
                <w:b w:val="false"/>
                <w:color w:val="000000"/>
                <w:sz w:val="20"/>
              </w:rPr>
              <w:t>(i)</w:t>
            </w:r>
            <w:r>
              <w:rPr>
                <w:color w:val="000000"/>
              </w:rPr>
              <w:t>“</w:t>
            </w:r>
            <w:r>
              <w:rPr>
                <w:rFonts w:ascii="Times New Roman;serif" w:hAnsi="Times New Roman;serif"/>
                <w:b w:val="false"/>
                <w:color w:val="000000"/>
                <w:sz w:val="20"/>
                <w:u w:val="single"/>
              </w:rPr>
              <w:t>Cause</w:t>
            </w:r>
            <w:r>
              <w:rPr>
                <w:color w:val="000000"/>
              </w:rPr>
              <w:t xml:space="preserve">” </w:t>
            </w:r>
            <w:r>
              <w:rPr>
                <w:rFonts w:ascii="Times New Roman;serif" w:hAnsi="Times New Roman;serif"/>
                <w:b w:val="false"/>
                <w:color w:val="000000"/>
                <w:sz w:val="20"/>
              </w:rPr>
              <w:t>has the meaning in the Amended and Restated Senior Management Agreement entered into between Participant and the Company dated as of November 10, 2020 (the “</w:t>
            </w:r>
            <w:r>
              <w:rPr>
                <w:rFonts w:ascii="Times New Roman;serif" w:hAnsi="Times New Roman;serif"/>
                <w:b w:val="false"/>
                <w:color w:val="000000"/>
                <w:sz w:val="20"/>
                <w:u w:val="single"/>
              </w:rPr>
              <w:t>Senior Management Agreement</w:t>
            </w:r>
            <w:r>
              <w:rPr>
                <w:color w:val="000000"/>
              </w:rPr>
              <w:t>”</w:t>
            </w:r>
            <w:r>
              <w:rPr>
                <w:rFonts w:ascii="Times New Roman;serif" w:hAnsi="Times New Roman;serif"/>
                <w:b w:val="false"/>
                <w:color w:val="000000"/>
                <w:sz w:val="20"/>
              </w:rPr>
              <w:t>).</w:t>
            </w:r>
          </w:p>
          <w:p>
            <w:pPr>
              <w:pStyle w:val="TableContents"/>
              <w:bidi w:val="0"/>
              <w:spacing w:lineRule="auto" w:line="288" w:before="0" w:after="240"/>
              <w:ind w:left="0" w:right="0" w:hanging="360"/>
              <w:jc w:val="both"/>
              <w:rPr/>
            </w:pPr>
            <w:r>
              <w:rPr>
                <w:rFonts w:ascii="Times New Roman;serif" w:hAnsi="Times New Roman;serif"/>
                <w:b w:val="false"/>
                <w:color w:val="000000"/>
                <w:sz w:val="20"/>
              </w:rPr>
              <w:t>(ii)</w:t>
            </w:r>
            <w:r>
              <w:rPr>
                <w:color w:val="000000"/>
              </w:rPr>
              <w:t>“</w:t>
            </w:r>
            <w:r>
              <w:rPr>
                <w:rFonts w:ascii="Times New Roman;serif" w:hAnsi="Times New Roman;serif"/>
                <w:b w:val="false"/>
                <w:color w:val="000000"/>
                <w:sz w:val="20"/>
                <w:u w:val="single"/>
              </w:rPr>
              <w:t>Good Reason</w:t>
            </w:r>
            <w:r>
              <w:rPr>
                <w:color w:val="000000"/>
              </w:rPr>
              <w:t xml:space="preserve">” </w:t>
            </w:r>
            <w:r>
              <w:rPr>
                <w:rFonts w:ascii="Times New Roman;serif" w:hAnsi="Times New Roman;serif"/>
                <w:b w:val="false"/>
                <w:color w:val="000000"/>
                <w:sz w:val="20"/>
              </w:rPr>
              <w:t>has the meaning in the Senior Management Agreement.</w:t>
            </w:r>
          </w:p>
          <w:p>
            <w:pPr>
              <w:pStyle w:val="TableContents"/>
              <w:bidi w:val="0"/>
              <w:spacing w:lineRule="auto" w:line="288" w:before="0" w:after="240"/>
              <w:ind w:left="0" w:right="0" w:hanging="360"/>
              <w:jc w:val="both"/>
              <w:rPr/>
            </w:pPr>
            <w:r>
              <w:rPr>
                <w:rFonts w:ascii="Times New Roman;serif" w:hAnsi="Times New Roman;serif"/>
                <w:b w:val="false"/>
                <w:color w:val="000000"/>
                <w:sz w:val="20"/>
              </w:rPr>
              <w:t>(iii)</w:t>
            </w:r>
            <w:r>
              <w:rPr>
                <w:color w:val="000000"/>
              </w:rPr>
              <w:t> “</w:t>
            </w:r>
            <w:r>
              <w:rPr>
                <w:rFonts w:ascii="Times New Roman;serif" w:hAnsi="Times New Roman;serif"/>
                <w:b w:val="false"/>
                <w:color w:val="000000"/>
                <w:sz w:val="20"/>
                <w:u w:val="single"/>
              </w:rPr>
              <w:t>Release Requirement</w:t>
            </w:r>
            <w:r>
              <w:rPr>
                <w:color w:val="000000"/>
              </w:rPr>
              <w:t xml:space="preserve">” </w:t>
            </w:r>
            <w:r>
              <w:rPr>
                <w:rFonts w:ascii="Times New Roman;serif" w:hAnsi="Times New Roman;serif"/>
                <w:b w:val="false"/>
                <w:color w:val="000000"/>
                <w:sz w:val="20"/>
              </w:rPr>
              <w:t>has the meaning in the Senior Management Agreement.</w:t>
            </w:r>
          </w:p>
        </w:tc>
      </w:tr>
    </w:tbl>
    <w:p>
      <w:pPr>
        <w:pStyle w:val="TextBody"/>
        <w:bidi w:val="0"/>
        <w:spacing w:before="0" w:after="0"/>
        <w:ind w:left="0" w:right="0" w:firstLine="720"/>
        <w:jc w:val="right"/>
        <w:rPr/>
      </w:pPr>
      <w:r>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6480175" cy="455295"/>
                <wp:effectExtent l="0" t="0" r="0" b="0"/>
                <wp:wrapNone/>
                <wp:docPr id="193" name="Frame191"/>
                <a:graphic xmlns:a="http://schemas.openxmlformats.org/drawingml/2006/main">
                  <a:graphicData uri="http://schemas.microsoft.com/office/word/2010/wordprocessingShape">
                    <wps:wsp>
                      <wps:cNvSpPr txBox="1"/>
                      <wps:spPr>
                        <a:xfrm>
                          <a:off x="0" y="0"/>
                          <a:ext cx="6480175" cy="455295"/>
                        </a:xfrm>
                        <a:prstGeom prst="rect"/>
                        <a:solidFill>
                          <a:srgbClr val="FFFFFF"/>
                        </a:solidFill>
                      </wps:spPr>
                      <wps:txbx>
                        <w:txbxContent>
                          <w:p>
                            <w:pPr>
                              <w:pStyle w:val="TextBody"/>
                              <w:bidi w:val="0"/>
                              <w:spacing w:lineRule="auto" w:line="292" w:before="0" w:after="16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p>
                            <w:pPr>
                              <w:pStyle w:val="TextBody"/>
                              <w:bidi w:val="0"/>
                              <w:spacing w:before="0" w:after="16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8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92" w:before="0" w:after="160"/>
                        <w:jc w:val="center"/>
                        <w:rPr>
                          <w:rFonts w:ascii="Times New Roman;serif" w:hAnsi="Times New Roman;serif"/>
                          <w:b w:val="false"/>
                          <w:color w:val="000000"/>
                          <w:sz w:val="20"/>
                        </w:rPr>
                      </w:pPr>
                      <w:r>
                        <w:rPr>
                          <w:rFonts w:ascii="Times New Roman;serif" w:hAnsi="Times New Roman;serif"/>
                          <w:b w:val="false"/>
                          <w:color w:val="000000"/>
                          <w:sz w:val="20"/>
                        </w:rPr>
                        <w:t>2</w:t>
                      </w:r>
                    </w:p>
                    <w:p>
                      <w:pPr>
                        <w:pStyle w:val="TextBody"/>
                        <w:bidi w:val="0"/>
                        <w:spacing w:before="0" w:after="160"/>
                        <w:jc w:val="both"/>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55"/>
        <w:gridCol w:w="311"/>
        <w:gridCol w:w="314"/>
        <w:gridCol w:w="2701"/>
        <w:gridCol w:w="2701"/>
        <w:gridCol w:w="3823"/>
      </w:tblGrid>
      <w:tr>
        <w:trPr/>
        <w:tc>
          <w:tcPr>
            <w:tcW w:w="355"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2701" w:type="dxa"/>
            <w:tcBorders/>
            <w:vAlign w:val="center"/>
          </w:tcPr>
          <w:p>
            <w:pPr>
              <w:pStyle w:val="TableContents"/>
              <w:bidi w:val="0"/>
              <w:spacing w:before="0" w:after="283"/>
              <w:jc w:val="left"/>
              <w:rPr>
                <w:sz w:val="4"/>
                <w:szCs w:val="4"/>
              </w:rPr>
            </w:pPr>
            <w:r>
              <w:rPr>
                <w:sz w:val="4"/>
                <w:szCs w:val="4"/>
              </w:rPr>
            </w:r>
          </w:p>
        </w:tc>
        <w:tc>
          <w:tcPr>
            <w:tcW w:w="2701" w:type="dxa"/>
            <w:tcBorders/>
            <w:vAlign w:val="center"/>
          </w:tcPr>
          <w:p>
            <w:pPr>
              <w:pStyle w:val="TableContents"/>
              <w:bidi w:val="0"/>
              <w:spacing w:before="0" w:after="283"/>
              <w:jc w:val="left"/>
              <w:rPr>
                <w:sz w:val="4"/>
                <w:szCs w:val="4"/>
              </w:rPr>
            </w:pPr>
            <w:r>
              <w:rPr>
                <w:sz w:val="4"/>
                <w:szCs w:val="4"/>
              </w:rPr>
            </w:r>
          </w:p>
        </w:tc>
        <w:tc>
          <w:tcPr>
            <w:tcW w:w="3823" w:type="dxa"/>
            <w:tcBorders/>
            <w:vAlign w:val="center"/>
          </w:tcPr>
          <w:p>
            <w:pPr>
              <w:pStyle w:val="TableContents"/>
              <w:bidi w:val="0"/>
              <w:spacing w:before="0" w:after="283"/>
              <w:jc w:val="left"/>
              <w:rPr>
                <w:sz w:val="4"/>
                <w:szCs w:val="4"/>
              </w:rPr>
            </w:pPr>
            <w:r>
              <w:rPr>
                <w:sz w:val="4"/>
                <w:szCs w:val="4"/>
              </w:rPr>
            </w:r>
          </w:p>
        </w:tc>
      </w:tr>
      <w:tr>
        <w:trPr/>
        <w:tc>
          <w:tcPr>
            <w:tcW w:w="980" w:type="dxa"/>
            <w:gridSpan w:val="3"/>
            <w:tcBorders/>
            <w:tcMar>
              <w:top w:w="0" w:type="dxa"/>
              <w:left w:w="0" w:type="dxa"/>
              <w:bottom w:w="0" w:type="dxa"/>
              <w:right w:w="0" w:type="dxa"/>
            </w:tcMar>
            <w:vAlign w:val="center"/>
          </w:tcPr>
          <w:p>
            <w:pPr>
              <w:pStyle w:val="TableContents"/>
              <w:bidi w:val="0"/>
              <w:spacing w:lineRule="auto" w:line="290" w:before="0" w:after="240"/>
              <w:jc w:val="both"/>
              <w:rPr/>
            </w:pPr>
            <w:r>
              <w:rPr>
                <w:rFonts w:ascii="Times New Roman;serif" w:hAnsi="Times New Roman;serif"/>
                <w:b/>
                <w:color w:val="000000"/>
                <w:sz w:val="22"/>
              </w:rPr>
              <w:t>8.</w:t>
            </w:r>
            <w:r>
              <w:rPr>
                <w:rFonts w:ascii="Times New Roman;serif" w:hAnsi="Times New Roman;serif"/>
                <w:b/>
                <w:color w:val="000000"/>
                <w:sz w:val="20"/>
              </w:rPr>
              <w:t>Change in Control:</w:t>
            </w:r>
          </w:p>
        </w:tc>
        <w:tc>
          <w:tcPr>
            <w:tcW w:w="9225" w:type="dxa"/>
            <w:gridSpan w:val="3"/>
            <w:tcBorders/>
            <w:tcMar>
              <w:top w:w="0" w:type="dxa"/>
              <w:left w:w="0" w:type="dxa"/>
              <w:bottom w:w="0" w:type="dxa"/>
              <w:right w:w="0" w:type="dxa"/>
            </w:tcMar>
            <w:vAlign w:val="center"/>
          </w:tcPr>
          <w:p>
            <w:pPr>
              <w:pStyle w:val="TableContents"/>
              <w:bidi w:val="0"/>
              <w:spacing w:lineRule="auto" w:line="288" w:before="0" w:after="240"/>
              <w:jc w:val="both"/>
              <w:rPr/>
            </w:pPr>
            <w:r>
              <w:rPr>
                <w:rFonts w:ascii="Times New Roman;serif" w:hAnsi="Times New Roman;serif"/>
                <w:b w:val="false"/>
                <w:color w:val="000000"/>
                <w:sz w:val="20"/>
              </w:rPr>
              <w:t>If, before the last day of the Performance Period and while Participant maintains their Continuous Service Status, a Change in Control occurs and the PSUs are not assumed or substituted by the Acquiror or continued by the Company in connection with the Change in Control, then, (notwithstanding anything in the Performance Memo to the contrary) the outstanding and unvested PSUs will be deemed earned and vested in the Target number of PSUs as the date of such Change in Control and</w:t>
            </w:r>
            <w:r>
              <w:rPr>
                <w:color w:val="000000"/>
              </w:rPr>
              <w:t xml:space="preserve"> </w:t>
            </w:r>
            <w:r>
              <w:rPr>
                <w:rFonts w:ascii="Times New Roman;serif" w:hAnsi="Times New Roman;serif"/>
                <w:b w:val="false"/>
                <w:color w:val="000000"/>
                <w:sz w:val="20"/>
              </w:rPr>
              <w:t xml:space="preserve">any PSUs that do not upon such Change in Control shall terminate and be forfeited. </w:t>
            </w:r>
          </w:p>
          <w:p>
            <w:pPr>
              <w:pStyle w:val="TableContents"/>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In the event that in connection with a Change in Control the Acquiror assumes or substitutes or the Company continues the PSUs and the Participant’s Continuous Service Status is terminated without Cause by such Acquiror or the Company or terminated by Participant for Good Reason, in each case, within the 12-month period immediately following the closing of the Change in Control, the outstanding and unvested PSUs will be earned and vested in the Target number of PSUs (as adjusted when assumed or substituted) as of the date of Participant’s termination. </w:t>
            </w:r>
          </w:p>
          <w:p>
            <w:pPr>
              <w:pStyle w:val="TableContents"/>
              <w:bidi w:val="0"/>
              <w:spacing w:lineRule="auto" w:line="288" w:before="0" w:after="240"/>
              <w:jc w:val="both"/>
              <w:rPr/>
            </w:pPr>
            <w:r>
              <w:rPr>
                <w:rFonts w:ascii="Times New Roman;serif" w:hAnsi="Times New Roman;serif"/>
                <w:b w:val="false"/>
                <w:color w:val="000000"/>
                <w:sz w:val="20"/>
              </w:rPr>
              <w:t>In addition, if an Acquiror so assumes or substitutes or the Company so continues the unvested portion of the PSUs, notwithstanding any provision to the contrary, any outstanding PSUs which at the time of the Change in Control are not subject to a “substantial risk of forfeiture” (within the meaning of Section 409A of the Code) will be deemed to be vested at the time of such Change in Control and will be settled in accordance with Section 9 of this Grant Notice</w:t>
            </w:r>
            <w:r>
              <w:rPr>
                <w:rFonts w:ascii="sans-serif" w:hAnsi="sans-serif"/>
                <w:b w:val="false"/>
                <w:color w:val="000000"/>
                <w:sz w:val="20"/>
              </w:rPr>
              <w:t>.</w:t>
            </w:r>
          </w:p>
        </w:tc>
      </w:tr>
    </w:tbl>
    <w:p>
      <w:pPr>
        <w:pStyle w:val="TextBody"/>
        <w:bidi w:val="0"/>
        <w:spacing w:before="0" w:after="0"/>
        <w:ind w:left="0" w:right="0" w:firstLine="720"/>
        <w:jc w:val="right"/>
        <w:rPr/>
      </w:pPr>
      <w:r>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6480175" cy="455295"/>
                <wp:effectExtent l="0" t="0" r="0" b="0"/>
                <wp:wrapNone/>
                <wp:docPr id="194" name="Frame192"/>
                <a:graphic xmlns:a="http://schemas.openxmlformats.org/drawingml/2006/main">
                  <a:graphicData uri="http://schemas.microsoft.com/office/word/2010/wordprocessingShape">
                    <wps:wsp>
                      <wps:cNvSpPr txBox="1"/>
                      <wps:spPr>
                        <a:xfrm>
                          <a:off x="0" y="0"/>
                          <a:ext cx="6480175" cy="455295"/>
                        </a:xfrm>
                        <a:prstGeom prst="rect"/>
                        <a:solidFill>
                          <a:srgbClr val="FFFFFF"/>
                        </a:solidFill>
                      </wps:spPr>
                      <wps:txbx>
                        <w:txbxContent>
                          <w:p>
                            <w:pPr>
                              <w:pStyle w:val="TextBody"/>
                              <w:bidi w:val="0"/>
                              <w:spacing w:lineRule="auto" w:line="292" w:before="0" w:after="16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p>
                            <w:pPr>
                              <w:pStyle w:val="TextBody"/>
                              <w:bidi w:val="0"/>
                              <w:spacing w:before="0" w:after="16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8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92" w:before="0" w:after="160"/>
                        <w:jc w:val="center"/>
                        <w:rPr>
                          <w:rFonts w:ascii="Times New Roman;serif" w:hAnsi="Times New Roman;serif"/>
                          <w:b w:val="false"/>
                          <w:color w:val="000000"/>
                          <w:sz w:val="20"/>
                        </w:rPr>
                      </w:pPr>
                      <w:r>
                        <w:rPr>
                          <w:rFonts w:ascii="Times New Roman;serif" w:hAnsi="Times New Roman;serif"/>
                          <w:b w:val="false"/>
                          <w:color w:val="000000"/>
                          <w:sz w:val="20"/>
                        </w:rPr>
                        <w:t>3</w:t>
                      </w:r>
                    </w:p>
                    <w:p>
                      <w:pPr>
                        <w:pStyle w:val="TextBody"/>
                        <w:bidi w:val="0"/>
                        <w:spacing w:before="0" w:after="160"/>
                        <w:jc w:val="both"/>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66"/>
        <w:gridCol w:w="322"/>
        <w:gridCol w:w="324"/>
        <w:gridCol w:w="2689"/>
        <w:gridCol w:w="2689"/>
        <w:gridCol w:w="3815"/>
      </w:tblGrid>
      <w:tr>
        <w:trPr/>
        <w:tc>
          <w:tcPr>
            <w:tcW w:w="366"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15" w:type="dxa"/>
            <w:tcBorders/>
            <w:vAlign w:val="center"/>
          </w:tcPr>
          <w:p>
            <w:pPr>
              <w:pStyle w:val="TableContents"/>
              <w:bidi w:val="0"/>
              <w:spacing w:before="0" w:after="283"/>
              <w:jc w:val="left"/>
              <w:rPr>
                <w:sz w:val="4"/>
                <w:szCs w:val="4"/>
              </w:rPr>
            </w:pPr>
            <w:r>
              <w:rPr>
                <w:sz w:val="4"/>
                <w:szCs w:val="4"/>
              </w:rPr>
            </w:r>
          </w:p>
        </w:tc>
      </w:tr>
      <w:tr>
        <w:trPr/>
        <w:tc>
          <w:tcPr>
            <w:tcW w:w="1012" w:type="dxa"/>
            <w:gridSpan w:val="3"/>
            <w:tcBorders/>
            <w:tcMar>
              <w:top w:w="0" w:type="dxa"/>
              <w:left w:w="0" w:type="dxa"/>
              <w:bottom w:w="0" w:type="dxa"/>
              <w:right w:w="0" w:type="dxa"/>
            </w:tcMar>
            <w:vAlign w:val="center"/>
          </w:tcPr>
          <w:p>
            <w:pPr>
              <w:pStyle w:val="TableContents"/>
              <w:bidi w:val="0"/>
              <w:spacing w:lineRule="auto" w:line="290" w:before="0" w:after="240"/>
              <w:jc w:val="both"/>
              <w:rPr/>
            </w:pPr>
            <w:r>
              <w:rPr>
                <w:rFonts w:ascii="Times New Roman;serif" w:hAnsi="Times New Roman;serif"/>
                <w:b/>
                <w:color w:val="000000"/>
                <w:sz w:val="22"/>
              </w:rPr>
              <w:t>9.</w:t>
            </w:r>
            <w:r>
              <w:rPr>
                <w:rFonts w:ascii="Times New Roman;serif" w:hAnsi="Times New Roman;serif"/>
                <w:b/>
                <w:color w:val="000000"/>
                <w:sz w:val="20"/>
              </w:rPr>
              <w:t>Issuance Schedule:</w:t>
            </w:r>
          </w:p>
        </w:tc>
        <w:tc>
          <w:tcPr>
            <w:tcW w:w="9193" w:type="dxa"/>
            <w:gridSpan w:val="3"/>
            <w:tcBorders/>
            <w:tcMar>
              <w:top w:w="0" w:type="dxa"/>
              <w:left w:w="0" w:type="dxa"/>
              <w:bottom w:w="0" w:type="dxa"/>
              <w:right w:w="0" w:type="dxa"/>
            </w:tcMar>
            <w:vAlign w:val="center"/>
          </w:tcPr>
          <w:p>
            <w:pPr>
              <w:pStyle w:val="TableContents"/>
              <w:bidi w:val="0"/>
              <w:spacing w:lineRule="auto" w:line="288" w:before="0" w:after="240"/>
              <w:jc w:val="both"/>
              <w:rPr/>
            </w:pPr>
            <w:r>
              <w:rPr>
                <w:rFonts w:ascii="Times New Roman;serif" w:hAnsi="Times New Roman;serif"/>
                <w:b w:val="false"/>
                <w:i/>
                <w:color w:val="000000"/>
                <w:sz w:val="20"/>
              </w:rPr>
              <w:t>(a) General</w:t>
            </w:r>
            <w:r>
              <w:rPr>
                <w:rFonts w:ascii="Times New Roman;serif" w:hAnsi="Times New Roman;serif"/>
                <w:b w:val="false"/>
                <w:color w:val="000000"/>
                <w:sz w:val="20"/>
              </w:rPr>
              <w:t>. Subject to Sections 6 and 9(b) of this Grant Notice and Section 2 of the PSU Agreement, following at the end of the Performance Period the Committee will certify the achievement of the Performance Goals and the number of PSUs vested and earned. The vested and earned PSUs shall be settled in Shares within 2-1/2 months following the end of the Performance Period.</w:t>
            </w:r>
          </w:p>
          <w:p>
            <w:pPr>
              <w:pStyle w:val="TableContents"/>
              <w:bidi w:val="0"/>
              <w:spacing w:lineRule="auto" w:line="288" w:before="0" w:after="240"/>
              <w:ind w:left="0" w:right="0" w:firstLine="40"/>
              <w:jc w:val="both"/>
              <w:rPr/>
            </w:pPr>
            <w:r>
              <w:rPr>
                <w:rFonts w:ascii="Times New Roman;serif" w:hAnsi="Times New Roman;serif"/>
                <w:b w:val="false"/>
                <w:color w:val="000000"/>
                <w:sz w:val="20"/>
              </w:rPr>
              <w:t xml:space="preserve">(b) </w:t>
            </w:r>
            <w:r>
              <w:rPr>
                <w:rFonts w:ascii="Times New Roman;serif" w:hAnsi="Times New Roman;serif"/>
                <w:b w:val="false"/>
                <w:i/>
                <w:color w:val="000000"/>
                <w:sz w:val="20"/>
              </w:rPr>
              <w:t>Other Settlement Dates</w:t>
            </w:r>
            <w:r>
              <w:rPr>
                <w:rFonts w:ascii="Times New Roman;serif" w:hAnsi="Times New Roman;serif"/>
                <w:b w:val="false"/>
                <w:color w:val="000000"/>
                <w:sz w:val="20"/>
              </w:rPr>
              <w:t>. Notwithstanding Section 9(a), to the extent that the PSUs are vested on the dates set forth below, the vested PSUs shall be settled in Shares as follows:</w:t>
            </w:r>
          </w:p>
          <w:p>
            <w:pPr>
              <w:pStyle w:val="TableContents"/>
              <w:bidi w:val="0"/>
              <w:spacing w:lineRule="auto" w:line="288" w:before="0" w:after="240"/>
              <w:ind w:left="0" w:right="0" w:firstLine="720"/>
              <w:jc w:val="both"/>
              <w:rPr/>
            </w:pPr>
            <w:r>
              <w:rPr>
                <w:rFonts w:ascii="Times New Roman;serif" w:hAnsi="Times New Roman;serif"/>
                <w:b w:val="false"/>
                <w:color w:val="000000"/>
                <w:sz w:val="20"/>
              </w:rPr>
              <w:t xml:space="preserve">(i) </w:t>
            </w:r>
            <w:r>
              <w:rPr>
                <w:rFonts w:ascii="Times New Roman;serif" w:hAnsi="Times New Roman;serif"/>
                <w:b w:val="false"/>
                <w:i/>
                <w:color w:val="000000"/>
                <w:sz w:val="20"/>
              </w:rPr>
              <w:t>Termination of Continuous Service Status or Death.</w:t>
            </w:r>
            <w:r>
              <w:rPr>
                <w:color w:val="000000"/>
              </w:rPr>
              <w:t xml:space="preserve"> </w:t>
            </w:r>
            <w:r>
              <w:rPr>
                <w:rFonts w:ascii="Times New Roman;serif" w:hAnsi="Times New Roman;serif"/>
                <w:b w:val="false"/>
                <w:color w:val="000000"/>
                <w:sz w:val="20"/>
              </w:rPr>
              <w:t>Within 60 days following the date of Participant’s termination of Continuous Service Status with the Company or death, any PSUs vested and deemed earned as of such termination or death shall be settled; provided, however, that if such termination of Continuous Service Status would not qualify as a “separation from service” as defined under Section 409A of the Code, and where Section 409A of the Code applies to such distribution, such vested PSUs shall be settled on the date that would have otherwise applied pursuant to Sections 9(a) or 9(b) of this Grant Notice.</w:t>
            </w:r>
          </w:p>
          <w:p>
            <w:pPr>
              <w:pStyle w:val="TableContents"/>
              <w:bidi w:val="0"/>
              <w:spacing w:lineRule="auto" w:line="288" w:before="0" w:after="240"/>
              <w:ind w:left="0" w:right="0" w:firstLine="720"/>
              <w:jc w:val="both"/>
              <w:rPr/>
            </w:pPr>
            <w:r>
              <w:rPr>
                <w:rFonts w:ascii="Times New Roman;serif" w:hAnsi="Times New Roman;serif"/>
                <w:b w:val="false"/>
                <w:color w:val="000000"/>
                <w:sz w:val="20"/>
              </w:rPr>
              <w:t>(ii)    </w:t>
            </w:r>
            <w:r>
              <w:rPr>
                <w:rFonts w:ascii="Times New Roman;serif" w:hAnsi="Times New Roman;serif"/>
                <w:b w:val="false"/>
                <w:i/>
                <w:color w:val="000000"/>
                <w:sz w:val="20"/>
              </w:rPr>
              <w:t>Change in Control.</w:t>
            </w:r>
            <w:r>
              <w:rPr>
                <w:color w:val="000000"/>
              </w:rPr>
              <w:t xml:space="preserve"> </w:t>
            </w:r>
            <w:r>
              <w:rPr>
                <w:rFonts w:ascii="Times New Roman;serif" w:hAnsi="Times New Roman;serif"/>
                <w:b w:val="false"/>
                <w:color w:val="000000"/>
                <w:sz w:val="20"/>
              </w:rPr>
              <w:t xml:space="preserve">Within 30 days following a Change in Control, any PSUs vested and deemed earned as of such Change in Control shall be settled; provided, however, that if such Change in Control would not qualify as a permissible date of distribution under Section 409A(a)(2)(A) of the Code, and where Section 409A of the Code applies to such distribution, such vested PSUs shall be settled on the date that would have otherwise applied pursuant to Sections 9(a) or 9(b) of this Grant Notice. </w:t>
            </w:r>
          </w:p>
          <w:p>
            <w:pPr>
              <w:pStyle w:val="TableContents"/>
              <w:bidi w:val="0"/>
              <w:spacing w:lineRule="auto" w:line="288" w:before="0" w:after="240"/>
              <w:ind w:left="0" w:right="0" w:firstLine="630"/>
              <w:jc w:val="both"/>
              <w:rPr/>
            </w:pPr>
            <w:r>
              <w:rPr>
                <w:rFonts w:ascii="Times New Roman;serif" w:hAnsi="Times New Roman;serif"/>
                <w:b w:val="false"/>
                <w:color w:val="000000"/>
                <w:sz w:val="20"/>
              </w:rPr>
              <w:t xml:space="preserve">(c) </w:t>
            </w:r>
            <w:r>
              <w:rPr>
                <w:rFonts w:ascii="Times New Roman;serif" w:hAnsi="Times New Roman;serif"/>
                <w:b w:val="false"/>
                <w:i/>
                <w:color w:val="000000"/>
                <w:sz w:val="20"/>
              </w:rPr>
              <w:t>Accelerated Payment.</w:t>
            </w:r>
            <w:r>
              <w:rPr>
                <w:color w:val="000000"/>
              </w:rPr>
              <w:t xml:space="preserve"> </w:t>
            </w:r>
            <w:r>
              <w:rPr>
                <w:rFonts w:ascii="Times New Roman;serif" w:hAnsi="Times New Roman;serif"/>
                <w:b w:val="false"/>
                <w:color w:val="000000"/>
                <w:sz w:val="20"/>
              </w:rPr>
              <w:t>Notwithstanding anything stated in this Grant Notice, in the PSU Agreement, the Plan or any other agreement applicable to the PSUs, the Company shall have the discretion to settle the PSUs prior to the time set forth herein to the extent permitted by Treasury Regulation Section 1.409A-3(j)(4).</w:t>
            </w:r>
          </w:p>
        </w:tc>
      </w:tr>
    </w:tbl>
    <w:p>
      <w:pPr>
        <w:pStyle w:val="TextBody"/>
        <w:bidi w:val="0"/>
        <w:spacing w:before="0" w:after="0"/>
        <w:ind w:left="0" w:right="0" w:firstLine="720"/>
        <w:jc w:val="right"/>
        <w:rPr/>
      </w:pPr>
      <w:r>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6480175" cy="455295"/>
                <wp:effectExtent l="0" t="0" r="0" b="0"/>
                <wp:wrapNone/>
                <wp:docPr id="195" name="Frame193"/>
                <a:graphic xmlns:a="http://schemas.openxmlformats.org/drawingml/2006/main">
                  <a:graphicData uri="http://schemas.microsoft.com/office/word/2010/wordprocessingShape">
                    <wps:wsp>
                      <wps:cNvSpPr txBox="1"/>
                      <wps:spPr>
                        <a:xfrm>
                          <a:off x="0" y="0"/>
                          <a:ext cx="6480175" cy="455295"/>
                        </a:xfrm>
                        <a:prstGeom prst="rect"/>
                        <a:solidFill>
                          <a:srgbClr val="FFFFFF"/>
                        </a:solidFill>
                      </wps:spPr>
                      <wps:txbx>
                        <w:txbxContent>
                          <w:p>
                            <w:pPr>
                              <w:pStyle w:val="TextBody"/>
                              <w:bidi w:val="0"/>
                              <w:spacing w:lineRule="auto" w:line="292" w:before="0" w:after="16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p>
                            <w:pPr>
                              <w:pStyle w:val="TextBody"/>
                              <w:bidi w:val="0"/>
                              <w:spacing w:before="0" w:after="16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8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92" w:before="0" w:after="160"/>
                        <w:jc w:val="center"/>
                        <w:rPr>
                          <w:rFonts w:ascii="Times New Roman;serif" w:hAnsi="Times New Roman;serif"/>
                          <w:b w:val="false"/>
                          <w:color w:val="000000"/>
                          <w:sz w:val="20"/>
                        </w:rPr>
                      </w:pPr>
                      <w:r>
                        <w:rPr>
                          <w:rFonts w:ascii="Times New Roman;serif" w:hAnsi="Times New Roman;serif"/>
                          <w:b w:val="false"/>
                          <w:color w:val="000000"/>
                          <w:sz w:val="20"/>
                        </w:rPr>
                        <w:t>4</w:t>
                      </w:r>
                    </w:p>
                    <w:p>
                      <w:pPr>
                        <w:pStyle w:val="TextBody"/>
                        <w:bidi w:val="0"/>
                        <w:spacing w:before="0" w:after="160"/>
                        <w:jc w:val="both"/>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515"/>
        <w:gridCol w:w="452"/>
        <w:gridCol w:w="454"/>
        <w:gridCol w:w="2572"/>
        <w:gridCol w:w="2572"/>
        <w:gridCol w:w="3640"/>
      </w:tblGrid>
      <w:tr>
        <w:trPr/>
        <w:tc>
          <w:tcPr>
            <w:tcW w:w="515"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2572" w:type="dxa"/>
            <w:tcBorders/>
            <w:vAlign w:val="center"/>
          </w:tcPr>
          <w:p>
            <w:pPr>
              <w:pStyle w:val="TableContents"/>
              <w:bidi w:val="0"/>
              <w:spacing w:before="0" w:after="283"/>
              <w:jc w:val="left"/>
              <w:rPr>
                <w:sz w:val="4"/>
                <w:szCs w:val="4"/>
              </w:rPr>
            </w:pPr>
            <w:r>
              <w:rPr>
                <w:sz w:val="4"/>
                <w:szCs w:val="4"/>
              </w:rPr>
            </w:r>
          </w:p>
        </w:tc>
        <w:tc>
          <w:tcPr>
            <w:tcW w:w="2572" w:type="dxa"/>
            <w:tcBorders/>
            <w:vAlign w:val="center"/>
          </w:tcPr>
          <w:p>
            <w:pPr>
              <w:pStyle w:val="TableContents"/>
              <w:bidi w:val="0"/>
              <w:spacing w:before="0" w:after="283"/>
              <w:jc w:val="left"/>
              <w:rPr>
                <w:sz w:val="4"/>
                <w:szCs w:val="4"/>
              </w:rPr>
            </w:pPr>
            <w:r>
              <w:rPr>
                <w:sz w:val="4"/>
                <w:szCs w:val="4"/>
              </w:rPr>
            </w:r>
          </w:p>
        </w:tc>
        <w:tc>
          <w:tcPr>
            <w:tcW w:w="3640" w:type="dxa"/>
            <w:tcBorders/>
            <w:vAlign w:val="center"/>
          </w:tcPr>
          <w:p>
            <w:pPr>
              <w:pStyle w:val="TableContents"/>
              <w:bidi w:val="0"/>
              <w:spacing w:before="0" w:after="283"/>
              <w:jc w:val="left"/>
              <w:rPr>
                <w:sz w:val="4"/>
                <w:szCs w:val="4"/>
              </w:rPr>
            </w:pPr>
            <w:r>
              <w:rPr>
                <w:sz w:val="4"/>
                <w:szCs w:val="4"/>
              </w:rPr>
            </w:r>
          </w:p>
        </w:tc>
      </w:tr>
      <w:tr>
        <w:trPr/>
        <w:tc>
          <w:tcPr>
            <w:tcW w:w="1421" w:type="dxa"/>
            <w:gridSpan w:val="3"/>
            <w:tcBorders/>
            <w:tcMar>
              <w:top w:w="0" w:type="dxa"/>
              <w:left w:w="0" w:type="dxa"/>
              <w:bottom w:w="0" w:type="dxa"/>
              <w:right w:w="0" w:type="dxa"/>
            </w:tcMar>
            <w:vAlign w:val="center"/>
          </w:tcPr>
          <w:p>
            <w:pPr>
              <w:pStyle w:val="TableContents"/>
              <w:bidi w:val="0"/>
              <w:spacing w:lineRule="auto" w:line="290" w:before="0" w:after="240"/>
              <w:jc w:val="both"/>
              <w:rPr/>
            </w:pPr>
            <w:r>
              <w:rPr>
                <w:rFonts w:ascii="Times New Roman;serif" w:hAnsi="Times New Roman;serif"/>
                <w:b/>
                <w:color w:val="000000"/>
                <w:sz w:val="22"/>
              </w:rPr>
              <w:t>10.</w:t>
            </w:r>
            <w:r>
              <w:rPr>
                <w:rFonts w:ascii="Times New Roman;serif" w:hAnsi="Times New Roman;serif"/>
                <w:b/>
                <w:color w:val="000000"/>
                <w:sz w:val="20"/>
              </w:rPr>
              <w:t>Tax Withholding Treatment:</w:t>
            </w:r>
          </w:p>
        </w:tc>
        <w:tc>
          <w:tcPr>
            <w:tcW w:w="8784" w:type="dxa"/>
            <w:gridSpan w:val="3"/>
            <w:tcBorders/>
            <w:tcMar>
              <w:top w:w="0" w:type="dxa"/>
              <w:left w:w="0" w:type="dxa"/>
              <w:bottom w:w="0" w:type="dxa"/>
              <w:right w:w="0" w:type="dxa"/>
            </w:tcMar>
            <w:vAlign w:val="center"/>
          </w:tcPr>
          <w:p>
            <w:pPr>
              <w:pStyle w:val="TableContents"/>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As a condition to acceptance of this award of PSUs, to the greatest extent permitted under the Plan and Applicable Laws, and absent any contrary determination by the Committee, any Tax Withholding Obligations will be satisfied by the Company withholding a number of the Shares issuable upon settlement determined in accordance with Section 3 of the PSU Agreement and making payments from its own funds to the appropriate taxing authorities in an amount equal to the Tax Withholding Obligations. Any Shares so withheld shall be credited against such withholding requirements at the fair market value of such shares on the date of such withholding.</w:t>
            </w:r>
          </w:p>
          <w:p>
            <w:pPr>
              <w:pStyle w:val="TableContents"/>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Notwithstanding the forgoing, if Participant is not a Company officer or Board member that is subject to Section 16 of the Exchange Act, the Company may adopt (in its discretion, without further Committee approval) such other treatment or program for such Tax Withholding Obligations, including requiring cash payments or other forms of payment as permitted under Section 9 of the Plan (limited to maximum permitted amounts), all as consistent with Section 26 of the Plan.</w:t>
            </w:r>
          </w:p>
          <w:p>
            <w:pPr>
              <w:pStyle w:val="TableContents"/>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Company may also enter into any other arrangement with the Participant to satisfy Participant’s Tax Withholding Obligations in accordance with Section 3 of the PSU Agreement.</w:t>
            </w:r>
          </w:p>
        </w:tc>
      </w:tr>
    </w:tbl>
    <w:p>
      <w:pPr>
        <w:pStyle w:val="TextBody"/>
        <w:bidi w:val="0"/>
        <w:spacing w:lineRule="auto" w:line="242"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By signing this Grant Notice or otherwise accepting this grant, Participant hereby agrees to all of the following:</w:t>
      </w:r>
    </w:p>
    <w:p>
      <w:pPr>
        <w:pStyle w:val="TextBody"/>
        <w:bidi w:val="0"/>
        <w:spacing w:lineRule="auto" w:line="292" w:before="0" w:after="240"/>
        <w:ind w:left="0" w:right="0" w:hanging="540"/>
        <w:jc w:val="both"/>
        <w:rPr/>
      </w:pPr>
      <w:r>
        <w:rPr>
          <w:color w:val="000000"/>
        </w:rPr>
        <w:t>•</w:t>
      </w:r>
      <w:r>
        <w:rPr>
          <w:rFonts w:ascii="Times New Roman;serif" w:hAnsi="Times New Roman;serif"/>
          <w:b w:val="false"/>
          <w:color w:val="000000"/>
          <w:sz w:val="20"/>
        </w:rPr>
        <w:t>This award of PSUs is granted under and governed by the terms and conditions of this Grant Notice, the Plan, the PSU Agreement (including any relevant Country-Specific Addendum), the Performance Memo and any ancillary documents.</w:t>
      </w:r>
    </w:p>
    <w:p>
      <w:pPr>
        <w:pStyle w:val="TextBody"/>
        <w:bidi w:val="0"/>
        <w:spacing w:lineRule="auto" w:line="292" w:before="0" w:after="240"/>
        <w:ind w:left="0" w:right="0" w:hanging="540"/>
        <w:jc w:val="both"/>
        <w:rPr/>
      </w:pPr>
      <w:r>
        <w:rPr>
          <w:color w:val="000000"/>
        </w:rPr>
        <w:t>•</w:t>
      </w:r>
      <w:r>
        <w:rPr>
          <w:rFonts w:ascii="Times New Roman;serif" w:hAnsi="Times New Roman;serif"/>
          <w:b w:val="false"/>
          <w:color w:val="000000"/>
          <w:sz w:val="20"/>
        </w:rPr>
        <w:t>Participant acknowledges and agrees that Participant will incur and is responsible for satisfaction of the Tax Withholding Obligations in connection with this award of PSUs and that, unless otherwise directed by the Committee, the Company and/or the Employer will mandate arrangements with the Participant to satisfy such Tax Withholding Obligations in accordance with Section 3 of the PSU Agreement, including, but not limited to, the arrangements described herein.</w:t>
      </w:r>
    </w:p>
    <w:p>
      <w:pPr>
        <w:pStyle w:val="TextBody"/>
        <w:bidi w:val="0"/>
        <w:spacing w:lineRule="auto" w:line="292" w:before="0" w:after="240"/>
        <w:ind w:left="0" w:right="0" w:hanging="540"/>
        <w:jc w:val="both"/>
        <w:rPr/>
      </w:pPr>
      <w:r>
        <w:rPr>
          <w:color w:val="000000"/>
        </w:rPr>
        <w:t>•</w:t>
      </w:r>
      <w:r>
        <w:rPr>
          <w:rFonts w:ascii="Times New Roman;serif" w:hAnsi="Times New Roman;serif"/>
          <w:b w:val="false"/>
          <w:color w:val="000000"/>
          <w:sz w:val="20"/>
        </w:rPr>
        <w:t>Participant acknowledges and agrees that Participant has reviewed the Plan, the Performance Memo and the PSU Agreement in their entirety, has had an opportunity to obtain the advice of counsel prior to accepting the PSUs, and fully understands all provisions of the Plan, the Performance Memo, this Grant Notice and the PSU Agreement. Participant consents to the vesting schedules set forth in this Grant Notice and agrees that the applicable vesting schedules comply with (or shall be deemed to comply with) any Company obligations to provide certain vesting protections under any contract between the Company and Participant.</w:t>
      </w:r>
    </w:p>
    <w:p>
      <w:pPr>
        <w:pStyle w:val="TextBody"/>
        <w:bidi w:val="0"/>
        <w:spacing w:lineRule="auto" w:line="292" w:before="0" w:after="240"/>
        <w:ind w:left="0" w:right="0" w:hanging="540"/>
        <w:jc w:val="both"/>
        <w:rPr/>
      </w:pPr>
      <w:r>
        <w:rPr>
          <w:color w:val="000000"/>
        </w:rPr>
        <w:t>•</w:t>
      </w:r>
      <w:r>
        <w:rPr>
          <w:rFonts w:ascii="Times New Roman;serif" w:hAnsi="Times New Roman;serif"/>
          <w:b w:val="false"/>
          <w:color w:val="000000"/>
          <w:sz w:val="20"/>
        </w:rPr>
        <w:t>Participant acknowledges and agrees that Participant has read the Company’s Insider Trading Policy, and agrees to comply with such policy, as it may be amended from time to time.</w:t>
      </w:r>
    </w:p>
    <w:p>
      <w:pPr>
        <w:pStyle w:val="TextBody"/>
        <w:bidi w:val="0"/>
        <w:spacing w:lineRule="auto" w:line="292" w:before="0" w:after="240"/>
        <w:ind w:left="0" w:right="0" w:hanging="540"/>
        <w:jc w:val="both"/>
        <w:rPr/>
      </w:pPr>
      <w:r>
        <w:rPr>
          <w:color w:val="000000"/>
        </w:rPr>
        <w:t>•</w:t>
      </w:r>
      <w:r>
        <w:rPr>
          <w:rFonts w:ascii="Times New Roman;serif" w:hAnsi="Times New Roman;serif"/>
          <w:b w:val="false"/>
          <w:color w:val="000000"/>
          <w:sz w:val="20"/>
        </w:rPr>
        <w:t>Participant agrees to accept as binding, conclusive and final all decisions or interpretations of the Administrator upon any questions relating to the Plan, the Performance Memo and PSU Agreement.</w:t>
      </w:r>
    </w:p>
    <w:p>
      <w:pPr>
        <w:pStyle w:val="TextBody"/>
        <w:bidi w:val="0"/>
        <w:spacing w:before="0" w:after="240"/>
        <w:ind w:left="0" w:right="0" w:hanging="180"/>
        <w:jc w:val="both"/>
        <w:rPr/>
      </w:pPr>
      <w:r>
        <w:rPr/>
      </w:r>
    </w:p>
    <w:p>
      <w:pPr>
        <w:pStyle w:val="TextBody"/>
        <w:bidi w:val="0"/>
        <w:spacing w:before="0" w:after="240"/>
        <w:ind w:left="0" w:right="0" w:hanging="360"/>
        <w:jc w:val="both"/>
        <w:rPr/>
      </w:pPr>
      <w:r>
        <w:rPr/>
      </w:r>
    </w:p>
    <w:p>
      <w:pPr>
        <w:pStyle w:val="TextBody"/>
        <w:bidi w:val="0"/>
        <w:spacing w:before="0" w:after="240"/>
        <w:ind w:left="0" w:right="0" w:hanging="360"/>
        <w:jc w:val="both"/>
        <w:rPr/>
      </w:pPr>
      <w:r>
        <w:rPr/>
      </w:r>
    </w:p>
    <w:p>
      <w:pPr>
        <w:pStyle w:val="TextBody"/>
        <w:bidi w:val="0"/>
        <w:spacing w:before="0" w:after="0"/>
        <w:ind w:left="0" w:right="0" w:firstLine="720"/>
        <w:jc w:val="right"/>
        <w:rPr/>
      </w:pPr>
      <w:r>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6480175" cy="455295"/>
                <wp:effectExtent l="0" t="0" r="0" b="0"/>
                <wp:wrapNone/>
                <wp:docPr id="196" name="Frame194"/>
                <a:graphic xmlns:a="http://schemas.openxmlformats.org/drawingml/2006/main">
                  <a:graphicData uri="http://schemas.microsoft.com/office/word/2010/wordprocessingShape">
                    <wps:wsp>
                      <wps:cNvSpPr txBox="1"/>
                      <wps:spPr>
                        <a:xfrm>
                          <a:off x="0" y="0"/>
                          <a:ext cx="6480175" cy="455295"/>
                        </a:xfrm>
                        <a:prstGeom prst="rect"/>
                        <a:solidFill>
                          <a:srgbClr val="FFFFFF"/>
                        </a:solidFill>
                      </wps:spPr>
                      <wps:txbx>
                        <w:txbxContent>
                          <w:p>
                            <w:pPr>
                              <w:pStyle w:val="TextBody"/>
                              <w:bidi w:val="0"/>
                              <w:spacing w:lineRule="auto" w:line="292" w:before="0" w:after="16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p>
                            <w:pPr>
                              <w:pStyle w:val="TextBody"/>
                              <w:bidi w:val="0"/>
                              <w:spacing w:before="0" w:after="16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8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92" w:before="0" w:after="160"/>
                        <w:jc w:val="center"/>
                        <w:rPr>
                          <w:rFonts w:ascii="Times New Roman;serif" w:hAnsi="Times New Roman;serif"/>
                          <w:b w:val="false"/>
                          <w:color w:val="000000"/>
                          <w:sz w:val="20"/>
                        </w:rPr>
                      </w:pPr>
                      <w:r>
                        <w:rPr>
                          <w:rFonts w:ascii="Times New Roman;serif" w:hAnsi="Times New Roman;serif"/>
                          <w:b w:val="false"/>
                          <w:color w:val="000000"/>
                          <w:sz w:val="20"/>
                        </w:rPr>
                        <w:t>5</w:t>
                      </w:r>
                    </w:p>
                    <w:p>
                      <w:pPr>
                        <w:pStyle w:val="TextBody"/>
                        <w:bidi w:val="0"/>
                        <w:spacing w:before="0" w:after="160"/>
                        <w:jc w:val="both"/>
                        <w:rPr/>
                      </w:pPr>
                      <w:r>
                        <w:rPr/>
                      </w:r>
                    </w:p>
                  </w:txbxContent>
                </v:textbox>
                <w10:wrap type="none"/>
              </v:rect>
            </w:pict>
          </mc:Fallback>
        </mc:AlternateContent>
      </w:r>
    </w:p>
    <w:p>
      <w:pPr>
        <w:pStyle w:val="TextBody"/>
        <w:bidi w:val="0"/>
        <w:spacing w:before="0" w:after="240"/>
        <w:ind w:left="0" w:right="0" w:hanging="1440"/>
        <w:jc w:val="both"/>
        <w:rPr/>
      </w:pPr>
      <w:r>
        <w:rPr/>
      </w:r>
    </w:p>
    <w:tbl>
      <w:tblPr>
        <w:tblW w:w="1349" w:type="dxa"/>
        <w:jc w:val="left"/>
        <w:tblInd w:w="0" w:type="dxa"/>
        <w:tblLayout w:type="fixed"/>
        <w:tblCellMar>
          <w:top w:w="28" w:type="dxa"/>
          <w:left w:w="28" w:type="dxa"/>
          <w:bottom w:w="28" w:type="dxa"/>
          <w:right w:w="28" w:type="dxa"/>
        </w:tblCellMar>
      </w:tblPr>
      <w:tblGrid>
        <w:gridCol w:w="432"/>
        <w:gridCol w:w="378"/>
        <w:gridCol w:w="539"/>
      </w:tblGrid>
      <w:tr>
        <w:trPr/>
        <w:tc>
          <w:tcPr>
            <w:tcW w:w="432"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r>
      <w:tr>
        <w:trPr/>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90" w:before="0" w:after="160"/>
              <w:jc w:val="both"/>
              <w:rPr>
                <w:rFonts w:ascii="Times New Roman;serif" w:hAnsi="Times New Roman;serif"/>
                <w:b w:val="false"/>
                <w:color w:val="000000"/>
                <w:sz w:val="20"/>
              </w:rPr>
            </w:pPr>
            <w:r>
              <w:rPr>
                <w:rFonts w:ascii="Times New Roman;serif" w:hAnsi="Times New Roman;serif"/>
                <w:b w:val="false"/>
                <w:color w:val="000000"/>
                <w:sz w:val="20"/>
              </w:rPr>
              <w:t>Name</w:t>
            </w:r>
          </w:p>
        </w:tc>
      </w:tr>
      <w:tr>
        <w:trPr/>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90" w:before="0" w:after="160"/>
              <w:jc w:val="both"/>
              <w:rPr>
                <w:rFonts w:ascii="Times New Roman;serif" w:hAnsi="Times New Roman;serif"/>
                <w:b w:val="false"/>
                <w:color w:val="000000"/>
                <w:sz w:val="20"/>
              </w:rPr>
            </w:pPr>
            <w:r>
              <w:rPr>
                <w:rFonts w:ascii="Times New Roman;serif" w:hAnsi="Times New Roman;serif"/>
                <w:b w:val="false"/>
                <w:color w:val="000000"/>
                <w:sz w:val="20"/>
              </w:rPr>
              <w:t>Date Accepted</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720"/>
        <w:jc w:val="right"/>
        <w:rPr/>
      </w:pPr>
      <w:r>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6480175" cy="455295"/>
                <wp:effectExtent l="0" t="0" r="0" b="0"/>
                <wp:wrapNone/>
                <wp:docPr id="197" name="Frame195"/>
                <a:graphic xmlns:a="http://schemas.openxmlformats.org/drawingml/2006/main">
                  <a:graphicData uri="http://schemas.microsoft.com/office/word/2010/wordprocessingShape">
                    <wps:wsp>
                      <wps:cNvSpPr txBox="1"/>
                      <wps:spPr>
                        <a:xfrm>
                          <a:off x="0" y="0"/>
                          <a:ext cx="6480175" cy="455295"/>
                        </a:xfrm>
                        <a:prstGeom prst="rect"/>
                        <a:solidFill>
                          <a:srgbClr val="FFFFFF"/>
                        </a:solidFill>
                      </wps:spPr>
                      <wps:txbx>
                        <w:txbxContent>
                          <w:p>
                            <w:pPr>
                              <w:pStyle w:val="TextBody"/>
                              <w:bidi w:val="0"/>
                              <w:spacing w:lineRule="auto" w:line="292" w:before="0" w:after="16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p>
                            <w:pPr>
                              <w:pStyle w:val="TextBody"/>
                              <w:bidi w:val="0"/>
                              <w:spacing w:before="0" w:after="16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8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92" w:before="0" w:after="160"/>
                        <w:jc w:val="center"/>
                        <w:rPr>
                          <w:rFonts w:ascii="Times New Roman;serif" w:hAnsi="Times New Roman;serif"/>
                          <w:b w:val="false"/>
                          <w:color w:val="000000"/>
                          <w:sz w:val="20"/>
                        </w:rPr>
                      </w:pPr>
                      <w:r>
                        <w:rPr>
                          <w:rFonts w:ascii="Times New Roman;serif" w:hAnsi="Times New Roman;serif"/>
                          <w:b w:val="false"/>
                          <w:color w:val="000000"/>
                          <w:sz w:val="20"/>
                        </w:rPr>
                        <w:t>6</w:t>
                      </w:r>
                    </w:p>
                    <w:p>
                      <w:pPr>
                        <w:pStyle w:val="TextBody"/>
                        <w:bidi w:val="0"/>
                        <w:spacing w:before="0" w:after="160"/>
                        <w:jc w:val="both"/>
                        <w:rPr/>
                      </w:pPr>
                      <w:r>
                        <w:rPr/>
                      </w:r>
                    </w:p>
                  </w:txbxContent>
                </v:textbox>
                <w10:wrap type="none"/>
              </v:rect>
            </w:pict>
          </mc:Fallback>
        </mc:AlternateContent>
      </w:r>
    </w:p>
    <w:p>
      <w:pPr>
        <w:pStyle w:val="TextBody"/>
        <w:bidi w:val="0"/>
        <w:spacing w:lineRule="auto" w:line="288" w:before="0" w:after="240"/>
        <w:jc w:val="center"/>
        <w:rPr/>
      </w:pPr>
      <w:r>
        <w:rPr>
          <w:rFonts w:ascii="Times New Roman;serif" w:hAnsi="Times New Roman;serif"/>
          <w:b/>
          <w:color w:val="000000"/>
          <w:sz w:val="20"/>
        </w:rPr>
        <w:t xml:space="preserve">SOTERA HEALTH COMPANY </w:t>
        <w:br/>
        <w:br/>
        <w:t>2020 OMNIBUS INCENTIVE PLAN</w:t>
        <w:br/>
        <w:br/>
      </w:r>
      <w:r>
        <w:rPr>
          <w:rFonts w:ascii="Times New Roman;serif" w:hAnsi="Times New Roman;serif"/>
          <w:b/>
          <w:color w:val="000000"/>
          <w:sz w:val="20"/>
          <w:u w:val="single"/>
        </w:rPr>
        <w:t>PERFORMANCE SHARE UNIT AGREEMENT</w:t>
      </w:r>
    </w:p>
    <w:p>
      <w:pPr>
        <w:pStyle w:val="TextBody"/>
        <w:bidi w:val="0"/>
        <w:spacing w:lineRule="auto" w:line="288" w:before="0" w:after="240"/>
        <w:ind w:left="0" w:right="0" w:firstLine="720"/>
        <w:jc w:val="both"/>
        <w:rPr/>
      </w:pPr>
      <w:r>
        <w:rPr>
          <w:rFonts w:ascii="Times New Roman;serif" w:hAnsi="Times New Roman;serif"/>
          <w:b w:val="false"/>
          <w:color w:val="000000"/>
          <w:sz w:val="20"/>
        </w:rPr>
        <w:t>Pursuant to your Performance Share Unit Grant Notice (the “</w:t>
      </w:r>
      <w:r>
        <w:rPr>
          <w:rFonts w:ascii="Times New Roman;serif" w:hAnsi="Times New Roman;serif"/>
          <w:b w:val="false"/>
          <w:color w:val="000000"/>
          <w:sz w:val="20"/>
          <w:u w:val="single"/>
        </w:rPr>
        <w:t>Grant Notice</w:t>
      </w:r>
      <w:r>
        <w:rPr>
          <w:color w:val="000000"/>
        </w:rPr>
        <w:t>”</w:t>
      </w:r>
      <w:r>
        <w:rPr>
          <w:rFonts w:ascii="Times New Roman;serif" w:hAnsi="Times New Roman;serif"/>
          <w:b w:val="false"/>
          <w:color w:val="000000"/>
          <w:sz w:val="20"/>
        </w:rPr>
        <w:t>) and this Performance Share Unit Agreement (the “</w:t>
      </w:r>
      <w:r>
        <w:rPr>
          <w:rFonts w:ascii="Times New Roman;serif" w:hAnsi="Times New Roman;serif"/>
          <w:b w:val="false"/>
          <w:color w:val="000000"/>
          <w:sz w:val="20"/>
          <w:u w:val="single"/>
        </w:rPr>
        <w:t>Agreement</w:t>
      </w:r>
      <w:r>
        <w:rPr>
          <w:color w:val="000000"/>
        </w:rPr>
        <w:t>”</w:t>
      </w:r>
      <w:r>
        <w:rPr>
          <w:rFonts w:ascii="Times New Roman;serif" w:hAnsi="Times New Roman;serif"/>
          <w:b w:val="false"/>
          <w:color w:val="000000"/>
          <w:sz w:val="20"/>
        </w:rPr>
        <w:t>), Sotera Health Company, a Delaware corporation (the “</w:t>
      </w:r>
      <w:r>
        <w:rPr>
          <w:rFonts w:ascii="Times New Roman;serif" w:hAnsi="Times New Roman;serif"/>
          <w:b w:val="false"/>
          <w:color w:val="000000"/>
          <w:sz w:val="20"/>
          <w:u w:val="single"/>
        </w:rPr>
        <w:t>Company</w:t>
      </w:r>
      <w:r>
        <w:rPr>
          <w:color w:val="000000"/>
        </w:rPr>
        <w:t>”</w:t>
      </w:r>
      <w:r>
        <w:rPr>
          <w:rFonts w:ascii="Times New Roman;serif" w:hAnsi="Times New Roman;serif"/>
          <w:b w:val="false"/>
          <w:color w:val="000000"/>
          <w:sz w:val="20"/>
        </w:rPr>
        <w:t>), has granted you (the “</w:t>
      </w:r>
      <w:r>
        <w:rPr>
          <w:rFonts w:ascii="Times New Roman;serif" w:hAnsi="Times New Roman;serif"/>
          <w:b w:val="false"/>
          <w:color w:val="000000"/>
          <w:sz w:val="20"/>
          <w:u w:val="single"/>
        </w:rPr>
        <w:t>Participant</w:t>
      </w:r>
      <w:r>
        <w:rPr>
          <w:color w:val="000000"/>
        </w:rPr>
        <w:t>”</w:t>
      </w:r>
      <w:r>
        <w:rPr>
          <w:rFonts w:ascii="Times New Roman;serif" w:hAnsi="Times New Roman;serif"/>
          <w:b w:val="false"/>
          <w:color w:val="000000"/>
          <w:sz w:val="20"/>
        </w:rPr>
        <w:t>), as of the Date of Grant set forth in the Grant Notice, a performance-based Restricted Stock Unit award (also referred to as a “Performance Share Unit” award) covering the number of units set forth in your Grant Notice, each of which represents one Share of the Company’s Common Stock (the “</w:t>
      </w:r>
      <w:r>
        <w:rPr>
          <w:rFonts w:ascii="Times New Roman;serif" w:hAnsi="Times New Roman;serif"/>
          <w:b w:val="false"/>
          <w:color w:val="000000"/>
          <w:sz w:val="20"/>
          <w:u w:val="single"/>
        </w:rPr>
        <w:t>PSUs</w:t>
      </w:r>
      <w:r>
        <w:rPr>
          <w:color w:val="000000"/>
        </w:rPr>
        <w:t>”</w:t>
      </w:r>
      <w:r>
        <w:rPr>
          <w:rFonts w:ascii="Times New Roman;serif" w:hAnsi="Times New Roman;serif"/>
          <w:b w:val="false"/>
          <w:color w:val="000000"/>
          <w:sz w:val="20"/>
        </w:rPr>
        <w:t>) pursuant to the Company’s 2020 Omnibus Incentive Plan and any applicable sub-plan for a particular country (together, the “</w:t>
      </w:r>
      <w:r>
        <w:rPr>
          <w:rFonts w:ascii="Times New Roman;serif" w:hAnsi="Times New Roman;serif"/>
          <w:b w:val="false"/>
          <w:color w:val="000000"/>
          <w:sz w:val="20"/>
          <w:u w:val="single"/>
        </w:rPr>
        <w:t>Plan</w:t>
      </w:r>
      <w:r>
        <w:rPr>
          <w:color w:val="000000"/>
        </w:rPr>
        <w:t>”</w:t>
      </w:r>
      <w:r>
        <w:rPr>
          <w:rFonts w:ascii="Times New Roman;serif" w:hAnsi="Times New Roman;serif"/>
          <w:b w:val="false"/>
          <w:color w:val="000000"/>
          <w:sz w:val="20"/>
        </w:rPr>
        <w:t>). Capitalized terms not explicitly defined in this Agreement but defined in the Plan or in the Grant Notice shall have the meaning ascribed to them in the Plan or in the Grant Notice. In the event of any conflict between the terms of this Agreement and the Plan, the terms of the Plan will control.</w:t>
      </w:r>
    </w:p>
    <w:p>
      <w:pPr>
        <w:pStyle w:val="TextBody"/>
        <w:bidi w:val="0"/>
        <w:spacing w:lineRule="auto" w:line="288" w:before="0" w:after="240"/>
        <w:ind w:left="0" w:right="0" w:firstLine="720"/>
        <w:jc w:val="both"/>
        <w:rPr/>
      </w:pPr>
      <w:r>
        <w:rPr>
          <w:rFonts w:ascii="Times New Roman;serif" w:hAnsi="Times New Roman;serif"/>
          <w:b w:val="false"/>
          <w:color w:val="000000"/>
          <w:sz w:val="22"/>
        </w:rPr>
        <w:t>1.</w:t>
      </w:r>
      <w:r>
        <w:rPr>
          <w:rFonts w:ascii="Times New Roman;serif" w:hAnsi="Times New Roman;serif"/>
          <w:b/>
          <w:color w:val="000000"/>
          <w:sz w:val="20"/>
          <w:u w:val="single"/>
        </w:rPr>
        <w:t>No Stockholder Rights</w:t>
      </w:r>
      <w:r>
        <w:rPr>
          <w:rFonts w:ascii="Times New Roman;serif" w:hAnsi="Times New Roman;serif"/>
          <w:b w:val="false"/>
          <w:color w:val="000000"/>
          <w:sz w:val="20"/>
        </w:rPr>
        <w:t>. Unless and until such time as Shares are issued pursuant to the Agreement in settlement of vested PSUs, Participant shall have no ownership of the Shares allocated to the PSUs, including, without limitation, no right to dividends (or dividend equivalents) or to vote such Shares.</w:t>
      </w:r>
    </w:p>
    <w:p>
      <w:pPr>
        <w:pStyle w:val="TextBody"/>
        <w:bidi w:val="0"/>
        <w:spacing w:lineRule="auto" w:line="288" w:before="0" w:after="240"/>
        <w:ind w:left="0" w:right="0" w:firstLine="720"/>
        <w:jc w:val="both"/>
        <w:rPr/>
      </w:pPr>
      <w:r>
        <w:rPr>
          <w:rFonts w:ascii="Times New Roman;serif" w:hAnsi="Times New Roman;serif"/>
          <w:b w:val="false"/>
          <w:color w:val="000000"/>
          <w:sz w:val="22"/>
        </w:rPr>
        <w:t>2.</w:t>
      </w:r>
      <w:r>
        <w:rPr>
          <w:rFonts w:ascii="Times New Roman;serif" w:hAnsi="Times New Roman;serif"/>
          <w:b/>
          <w:color w:val="000000"/>
          <w:sz w:val="20"/>
          <w:u w:val="single"/>
        </w:rPr>
        <w:t>Termination</w:t>
      </w:r>
      <w:r>
        <w:rPr>
          <w:rFonts w:ascii="Times New Roman;serif" w:hAnsi="Times New Roman;serif"/>
          <w:b w:val="false"/>
          <w:color w:val="000000"/>
          <w:sz w:val="20"/>
        </w:rPr>
        <w:t>. Except as otherwise provided in the Plan or Grant Notice, if Participant’s Continuous Service Status terminates at any time for any reason (including death or Disability), all PSUs for which vesting is no longer possible under the terms of the Grant Notice and this Agreement shall be forfeited to the Company on the date of such termination of Continuous Service Status, and all rights of Participant to such PSUs shall immediately terminate at such time. Subject to Applicable Law, in the event Participant’s Continuous Service Status is terminated by the Participant’s employer (together with the Participant’s former employer (if applicable), the “</w:t>
      </w:r>
      <w:r>
        <w:rPr>
          <w:rFonts w:ascii="Times New Roman;serif" w:hAnsi="Times New Roman;serif"/>
          <w:b w:val="false"/>
          <w:color w:val="000000"/>
          <w:sz w:val="20"/>
          <w:u w:val="single"/>
        </w:rPr>
        <w:t>Employer</w:t>
      </w:r>
      <w:r>
        <w:rPr>
          <w:color w:val="000000"/>
        </w:rPr>
        <w:t>”</w:t>
      </w:r>
      <w:r>
        <w:rPr>
          <w:rFonts w:ascii="Times New Roman;serif" w:hAnsi="Times New Roman;serif"/>
          <w:b w:val="false"/>
          <w:color w:val="000000"/>
          <w:sz w:val="20"/>
        </w:rPr>
        <w:t>) for Cause, then Participant’s vested but unsettled PSUs will also be forfeited upon the date of such termination, and Participant will have no further rights or interests with respect to such vested PSUs. Further, unless otherwise approved by the Company, Participant’s right to vest in the PSUs will terminate as of such date and will not be extended by any contractual notice period or any period of “garden leave” or similar notice period mandated under employment laws in the jurisdiction where Participant is employed or the terms of Participant’s employment agreement, if any. To the extent permitted by Section 409A of the Code, if Participant ceases to be an Employee but continues, or simultaneously commences, services as a Non-Employee Director, Participant shall be deemed to have had a termination of Continuous Service Status for purposes of this Agreement.</w:t>
      </w:r>
    </w:p>
    <w:p>
      <w:pPr>
        <w:pStyle w:val="TextBody"/>
        <w:bidi w:val="0"/>
        <w:spacing w:lineRule="auto" w:line="288" w:before="0" w:after="240"/>
        <w:ind w:left="0" w:right="0" w:firstLine="720"/>
        <w:jc w:val="both"/>
        <w:rPr/>
      </w:pPr>
      <w:r>
        <w:rPr>
          <w:rFonts w:ascii="Times New Roman;serif" w:hAnsi="Times New Roman;serif"/>
          <w:b w:val="false"/>
          <w:color w:val="000000"/>
          <w:sz w:val="22"/>
        </w:rPr>
        <w:t>3.</w:t>
      </w:r>
      <w:r>
        <w:rPr>
          <w:rFonts w:ascii="Times New Roman;serif" w:hAnsi="Times New Roman;serif"/>
          <w:b/>
          <w:color w:val="000000"/>
          <w:sz w:val="20"/>
          <w:u w:val="single"/>
        </w:rPr>
        <w:t>Responsibility for Taxes</w:t>
      </w:r>
      <w:r>
        <w:rPr>
          <w:rFonts w:ascii="Times New Roman;serif" w:hAnsi="Times New Roman;serif"/>
          <w:b w:val="false"/>
          <w:color w:val="000000"/>
          <w:sz w:val="20"/>
        </w:rPr>
        <w:t>. As a condition to the grant, vesting, and settlement of the PSUs, Participant acknowledges that, regardless of any action taken by the Company or, if different, the Employer, the ultimate liability for all income tax, social security contributions (including employer’s social security contributions to the extent such amounts may be lawfully recovered from or borne by the Participant), social insurance, payroll tax, fringe benefits tax, payment on account or other tax-related items (or any equivalent or similar taxes, contributions or other relevant tax-related items in any relevant jurisdiction) or required deductions, withholdings or payments legally applicable to him or her and related to the receipt, vesting or settlement of the PSUs, the issuance, holding or subsequent sale of the Shares allocated to the PSUs, or the participation in the Plan (“</w:t>
      </w:r>
      <w:r>
        <w:rPr>
          <w:rFonts w:ascii="Times New Roman;serif" w:hAnsi="Times New Roman;serif"/>
          <w:b w:val="false"/>
          <w:color w:val="000000"/>
          <w:sz w:val="20"/>
          <w:u w:val="single"/>
        </w:rPr>
        <w:t>Tax-Related Items</w:t>
      </w:r>
      <w:r>
        <w:rPr>
          <w:color w:val="000000"/>
        </w:rPr>
        <w:t>”</w:t>
      </w:r>
      <w:r>
        <w:rPr>
          <w:rFonts w:ascii="Times New Roman;serif" w:hAnsi="Times New Roman;serif"/>
          <w:b w:val="false"/>
          <w:color w:val="000000"/>
          <w:sz w:val="20"/>
        </w:rPr>
        <w:t>) is and remains Participant’s responsibility and may exceed the amount actually withheld by the Company or the Employer. Participant further acknowledges and agrees that Participant is solely responsible for filing all relevant documentation that may be required in relation to the PSUs or any Tax-Related Items (other than filings or documentation that is the specific obligation of the Company, its Parent, Subsidiaries or Affiliates (the “</w:t>
      </w:r>
      <w:r>
        <w:rPr>
          <w:rFonts w:ascii="Times New Roman;serif" w:hAnsi="Times New Roman;serif"/>
          <w:b w:val="false"/>
          <w:color w:val="000000"/>
          <w:sz w:val="20"/>
          <w:u w:val="single"/>
        </w:rPr>
        <w:t>Company Group</w:t>
      </w:r>
      <w:r>
        <w:rPr>
          <w:color w:val="000000"/>
        </w:rPr>
        <w:t>”</w:t>
      </w:r>
      <w:r>
        <w:rPr>
          <w:rFonts w:ascii="Times New Roman;serif" w:hAnsi="Times New Roman;serif"/>
          <w:b w:val="false"/>
          <w:color w:val="000000"/>
          <w:sz w:val="20"/>
        </w:rPr>
        <w:t>) pursuant to Applicable Laws), such as, but not limited to, personal income tax returns or reporting statements in relation to the receipt, vesting or settlement of the PSUs, the issuance of the Shares allocated to the PSUs, the holding of Shares or any bank or brokerage account, the subsequent sale of Shares, and the receipt of any dividends.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Participant further acknowledges that the Company and/or the Employer: (i) make no representations or undertakings regarding the treatment of any Tax-Related Items in connection with any aspect of the PSUs, including, but not </w:t>
      </w:r>
    </w:p>
    <w:p>
      <w:pPr>
        <w:pStyle w:val="TextBody"/>
        <w:bidi w:val="0"/>
        <w:spacing w:before="0" w:after="0"/>
        <w:ind w:left="0" w:right="0" w:firstLine="720"/>
        <w:jc w:val="right"/>
        <w:rPr/>
      </w:pPr>
      <w:r>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6480175" cy="455295"/>
                <wp:effectExtent l="0" t="0" r="0" b="0"/>
                <wp:wrapNone/>
                <wp:docPr id="198" name="Frame196"/>
                <a:graphic xmlns:a="http://schemas.openxmlformats.org/drawingml/2006/main">
                  <a:graphicData uri="http://schemas.microsoft.com/office/word/2010/wordprocessingShape">
                    <wps:wsp>
                      <wps:cNvSpPr txBox="1"/>
                      <wps:spPr>
                        <a:xfrm>
                          <a:off x="0" y="0"/>
                          <a:ext cx="6480175" cy="455295"/>
                        </a:xfrm>
                        <a:prstGeom prst="rect"/>
                        <a:solidFill>
                          <a:srgbClr val="FFFFFF"/>
                        </a:solidFill>
                      </wps:spPr>
                      <wps:txbx>
                        <w:txbxContent>
                          <w:p>
                            <w:pPr>
                              <w:pStyle w:val="TextBody"/>
                              <w:bidi w:val="0"/>
                              <w:spacing w:lineRule="auto" w:line="292" w:before="0" w:after="16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p>
                            <w:pPr>
                              <w:pStyle w:val="TextBody"/>
                              <w:bidi w:val="0"/>
                              <w:spacing w:before="0" w:after="16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8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92" w:before="0" w:after="160"/>
                        <w:jc w:val="center"/>
                        <w:rPr>
                          <w:rFonts w:ascii="Times New Roman;serif" w:hAnsi="Times New Roman;serif"/>
                          <w:b w:val="false"/>
                          <w:color w:val="000000"/>
                          <w:sz w:val="20"/>
                        </w:rPr>
                      </w:pPr>
                      <w:r>
                        <w:rPr>
                          <w:rFonts w:ascii="Times New Roman;serif" w:hAnsi="Times New Roman;serif"/>
                          <w:b w:val="false"/>
                          <w:color w:val="000000"/>
                          <w:sz w:val="20"/>
                        </w:rPr>
                        <w:t>1</w:t>
                      </w:r>
                    </w:p>
                    <w:p>
                      <w:pPr>
                        <w:pStyle w:val="TextBody"/>
                        <w:bidi w:val="0"/>
                        <w:spacing w:before="0" w:after="160"/>
                        <w:jc w:val="both"/>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limited to, the receipt, vesting or settlement of the PSUs, the issuance, holding or subsequent sale of the Shares allocated to the PSUs and the receipt of any dividends; and (ii) do not commit to and are under no obligation to structure the terms of the grant or any aspect of the PSUs to reduce or eliminate Participant’s liability for Tax- Related Items or achieve any particular tax result. Participant also understands that Applicable Laws may require varying PSU or Share valuation methods for purposes of calculating Tax- Related Items, and the Company assumes no responsibility or liability in relation to any such valuation or for any calculation or reporting of income or Tax- Related Items that may be required of Participant under Applicable Laws.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By entering into this Agreement, Participant agrees to indemnify the Company, the Employer and any relevant Parent, Subsidiary or Affiliate, against all and any liability for any taxes or Tax-Related Items which may arise in respect of or in connection with the PSUs (or, for the avoidance of doubt, any PSUs granted or provided to Participant by way of rollover, assumption or replacement of the PSUs) or the Shares (or, for the avoidance of doubt, other shares or securities) issued or transferred pursuant to the vesting of the PSUs (or, for the avoidance of doubt, any PSUs granted or provided to Participant by way of rollover, assumption or replacement of the PSUs).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Further, if Participant is subject to Tax-Related Items in more than one jurisdiction between the Date of Grant and the date of any relevant taxable or tax withholding event, as applicable, Participant acknowledges that the Company and/or the Employer (or former employer, as applicable) may be required to withhold or account for Tax- Related Items in more than one jurisdiction.</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Prior to the relevant taxable or tax withholding event, as applicable, Participant agrees to make adequate arrangements satisfactory to the Company and/or the Employer to satisfy all Tax- Related Items. In this regard, pursuant to this Agreement and subject to the Grant Notice and Applicable Laws, unless otherwise determined by the Committee, Participant authorizes the Company and/or the Employer, or their respective agents, at their discretion, to satisfy Participant’s Tax Withholding Obligations by (i) withholding or deducting from Participant’s wages or other compensation paid to Participant by the Company or the Employer, (ii) withholding from proceeds of the sale of Shares acquired pursuant to the PSUs either through a voluntary sale or through a mandatory sale arranged by the Company (on Participant’s behalf pursuant to this authorization) without further consent, (iii) withholding Shares that would otherwise be issued upon settlement of the PSUs or (iv) such other method as determined by the Company.</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Depending on the method of satisfying the Tax Withholding Obligations, the Company and/or the Employer may pay, withhold or account for such Tax Withholding Obligations by considering applicable minimum statutory withholding amounts or other applicable tax or withholding rates, including maximum applicable rates, in which case Participant will (depending on the laws of the relevant jurisdiction) receive a refund of any over-withheld or over- paid amount in cash or otherwise be able to claim relief in respect of any such over- withheld or over-paid amount, and will in any event have no entitlement to the Share equivalent.</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Participant agrees to pay to the Company or the Employer any amount of Tax Withholding Obligations that the Company or the Employer may be required to pay, withhold or account for as a result of Participant’s receipt, vesting or settlement of the PSUs, the issuance or holding of the Shares allocated to the PSUs or the participation in the Plan that cannot be satisfied by the means previously described. The Company may refuse to issue or deliver the Shares or the proceeds of the sale of Shares if Participant fails to comply with his or her obligations in connection with the Tax Withholding Obligations.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Participant understands that Participant may suffer adverse tax consequences as a result of Participant’s receipt of the PSUs, the vesting and/or settlement of the PSUs, the issuance or holding of Shares allocated to the PSUs and/or the disposition of such Shares. Participant represents that Participant has consulted any tax consultants Participant deems advisable in connection with the receipt of the PSUs, the vesting and/or settlement of the PSUs, the issuance or holding of Shares allocated to the PSUs and/or the disposition of such Shares and that Participant is not relying on the Company (or the Employer) for any tax advice.</w:t>
      </w:r>
    </w:p>
    <w:p>
      <w:pPr>
        <w:pStyle w:val="TextBody"/>
        <w:bidi w:val="0"/>
        <w:spacing w:before="0" w:after="0"/>
        <w:ind w:left="0" w:right="0" w:firstLine="720"/>
        <w:jc w:val="right"/>
        <w:rPr/>
      </w:pPr>
      <w:r>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6480175" cy="455295"/>
                <wp:effectExtent l="0" t="0" r="0" b="0"/>
                <wp:wrapNone/>
                <wp:docPr id="199" name="Frame197"/>
                <a:graphic xmlns:a="http://schemas.openxmlformats.org/drawingml/2006/main">
                  <a:graphicData uri="http://schemas.microsoft.com/office/word/2010/wordprocessingShape">
                    <wps:wsp>
                      <wps:cNvSpPr txBox="1"/>
                      <wps:spPr>
                        <a:xfrm>
                          <a:off x="0" y="0"/>
                          <a:ext cx="6480175" cy="455295"/>
                        </a:xfrm>
                        <a:prstGeom prst="rect"/>
                        <a:solidFill>
                          <a:srgbClr val="FFFFFF"/>
                        </a:solidFill>
                      </wps:spPr>
                      <wps:txbx>
                        <w:txbxContent>
                          <w:p>
                            <w:pPr>
                              <w:pStyle w:val="TextBody"/>
                              <w:bidi w:val="0"/>
                              <w:spacing w:lineRule="auto" w:line="292" w:before="0" w:after="16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p>
                            <w:pPr>
                              <w:pStyle w:val="TextBody"/>
                              <w:bidi w:val="0"/>
                              <w:spacing w:before="0" w:after="16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8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92" w:before="0" w:after="160"/>
                        <w:jc w:val="center"/>
                        <w:rPr>
                          <w:rFonts w:ascii="Times New Roman;serif" w:hAnsi="Times New Roman;serif"/>
                          <w:b w:val="false"/>
                          <w:color w:val="000000"/>
                          <w:sz w:val="20"/>
                        </w:rPr>
                      </w:pPr>
                      <w:r>
                        <w:rPr>
                          <w:rFonts w:ascii="Times New Roman;serif" w:hAnsi="Times New Roman;serif"/>
                          <w:b w:val="false"/>
                          <w:color w:val="000000"/>
                          <w:sz w:val="20"/>
                        </w:rPr>
                        <w:t>2</w:t>
                      </w:r>
                    </w:p>
                    <w:p>
                      <w:pPr>
                        <w:pStyle w:val="TextBody"/>
                        <w:bidi w:val="0"/>
                        <w:spacing w:before="0" w:after="160"/>
                        <w:jc w:val="both"/>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2"/>
        </w:rPr>
        <w:t>4.</w:t>
      </w:r>
      <w:r>
        <w:rPr>
          <w:rFonts w:ascii="Times New Roman;serif" w:hAnsi="Times New Roman;serif"/>
          <w:b/>
          <w:color w:val="000000"/>
          <w:sz w:val="20"/>
          <w:u w:val="single"/>
        </w:rPr>
        <w:t>Nature of Grant</w:t>
      </w:r>
      <w:r>
        <w:rPr>
          <w:rFonts w:ascii="Times New Roman;serif" w:hAnsi="Times New Roman;serif"/>
          <w:b/>
          <w:color w:val="000000"/>
          <w:sz w:val="20"/>
        </w:rPr>
        <w:t xml:space="preserve">. </w:t>
      </w:r>
      <w:r>
        <w:rPr>
          <w:rFonts w:ascii="Times New Roman;serif" w:hAnsi="Times New Roman;serif"/>
          <w:b w:val="false"/>
          <w:color w:val="000000"/>
          <w:sz w:val="20"/>
        </w:rPr>
        <w:t>In accepting the PSUs, Participant acknowledges, understands and agrees that:</w:t>
      </w:r>
    </w:p>
    <w:p>
      <w:pPr>
        <w:pStyle w:val="TextBody"/>
        <w:bidi w:val="0"/>
        <w:spacing w:lineRule="auto" w:line="288"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0"/>
        </w:rPr>
        <w:t>the Plan is established voluntarily by the Company, is discretionary in nature, and may be amended, suspended or terminated by the Company at any time, to the extent permitted by the Plan;</w:t>
      </w:r>
    </w:p>
    <w:p>
      <w:pPr>
        <w:pStyle w:val="TextBody"/>
        <w:bidi w:val="0"/>
        <w:spacing w:lineRule="auto" w:line="288"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0"/>
        </w:rPr>
        <w:t>the grant of the PSUs is voluntary and occasional and does not create any contractual or other right to receive future grants of performance-based Restricted Stock Units, or benefits in lieu of performance-based Restricted Stock Units, even if performance-based Restricted Stock Units have been granted in the past;</w:t>
      </w:r>
    </w:p>
    <w:p>
      <w:pPr>
        <w:pStyle w:val="TextBody"/>
        <w:bidi w:val="0"/>
        <w:spacing w:lineRule="auto" w:line="288" w:before="0" w:after="240"/>
        <w:ind w:left="0" w:right="0" w:firstLine="720"/>
        <w:jc w:val="both"/>
        <w:rPr/>
      </w:pPr>
      <w:r>
        <w:rPr>
          <w:rFonts w:ascii="Times New Roman;serif" w:hAnsi="Times New Roman;serif"/>
          <w:b w:val="false"/>
          <w:color w:val="000000"/>
          <w:sz w:val="22"/>
        </w:rPr>
        <w:t>(c)</w:t>
      </w:r>
      <w:r>
        <w:rPr>
          <w:rFonts w:ascii="Times New Roman;serif" w:hAnsi="Times New Roman;serif"/>
          <w:b w:val="false"/>
          <w:color w:val="000000"/>
          <w:sz w:val="20"/>
        </w:rPr>
        <w:t>all decisions with respect to future performance-based Restricted Stock Units or other grants, if any, will be at the sole discretion of the Company;</w:t>
      </w:r>
    </w:p>
    <w:p>
      <w:pPr>
        <w:pStyle w:val="TextBody"/>
        <w:bidi w:val="0"/>
        <w:spacing w:lineRule="auto" w:line="288" w:before="0" w:after="240"/>
        <w:ind w:left="0" w:right="0" w:firstLine="720"/>
        <w:jc w:val="both"/>
        <w:rPr/>
      </w:pPr>
      <w:r>
        <w:rPr>
          <w:rFonts w:ascii="Times New Roman;serif" w:hAnsi="Times New Roman;serif"/>
          <w:b w:val="false"/>
          <w:color w:val="000000"/>
          <w:sz w:val="22"/>
        </w:rPr>
        <w:t>(d)</w:t>
      </w:r>
      <w:r>
        <w:rPr>
          <w:rFonts w:ascii="Times New Roman;serif" w:hAnsi="Times New Roman;serif"/>
          <w:b w:val="false"/>
          <w:color w:val="000000"/>
          <w:sz w:val="20"/>
        </w:rPr>
        <w:t>Participant is voluntarily participating in the Plan;</w:t>
      </w:r>
    </w:p>
    <w:p>
      <w:pPr>
        <w:pStyle w:val="TextBody"/>
        <w:bidi w:val="0"/>
        <w:spacing w:lineRule="auto" w:line="288" w:before="0" w:after="240"/>
        <w:ind w:left="0" w:right="0" w:firstLine="720"/>
        <w:jc w:val="both"/>
        <w:rPr/>
      </w:pPr>
      <w:r>
        <w:rPr>
          <w:rFonts w:ascii="Times New Roman;serif" w:hAnsi="Times New Roman;serif"/>
          <w:b w:val="false"/>
          <w:color w:val="000000"/>
          <w:sz w:val="22"/>
        </w:rPr>
        <w:t>(e)</w:t>
      </w:r>
      <w:r>
        <w:rPr>
          <w:rFonts w:ascii="Times New Roman;serif" w:hAnsi="Times New Roman;serif"/>
          <w:b w:val="false"/>
          <w:color w:val="000000"/>
          <w:sz w:val="20"/>
        </w:rPr>
        <w:t>the PSUs and the Shares allocated to the PSUs are not intended to replace any pension rights or compensation and are outside the scope of Participant’s employment contract, if any;</w:t>
      </w:r>
    </w:p>
    <w:p>
      <w:pPr>
        <w:pStyle w:val="TextBody"/>
        <w:bidi w:val="0"/>
        <w:spacing w:lineRule="auto" w:line="288" w:before="0" w:after="240"/>
        <w:ind w:left="0" w:right="0" w:firstLine="720"/>
        <w:jc w:val="both"/>
        <w:rPr/>
      </w:pPr>
      <w:r>
        <w:rPr>
          <w:rFonts w:ascii="Times New Roman;serif" w:hAnsi="Times New Roman;serif"/>
          <w:b w:val="false"/>
          <w:color w:val="000000"/>
          <w:sz w:val="22"/>
        </w:rPr>
        <w:t>(f)</w:t>
      </w:r>
      <w:r>
        <w:rPr>
          <w:rFonts w:ascii="Times New Roman;serif" w:hAnsi="Times New Roman;serif"/>
          <w:b w:val="false"/>
          <w:color w:val="000000"/>
          <w:sz w:val="20"/>
        </w:rPr>
        <w:t>the PSUs and the Shares allocated to the PSUs, and the income and value of same, are not part of normal or expected compensation for any purpose, including, without limitation, calculating any severance, resignation, termination, redundancy, dismissal, end-of- service payments, bonuses, long-service awards, pension or retirement or welfare benefits or similar payments;</w:t>
      </w:r>
    </w:p>
    <w:p>
      <w:pPr>
        <w:pStyle w:val="TextBody"/>
        <w:bidi w:val="0"/>
        <w:spacing w:lineRule="auto" w:line="288" w:before="0" w:after="240"/>
        <w:ind w:left="0" w:right="0" w:firstLine="720"/>
        <w:jc w:val="both"/>
        <w:rPr/>
      </w:pPr>
      <w:r>
        <w:rPr>
          <w:rFonts w:ascii="Times New Roman;serif" w:hAnsi="Times New Roman;serif"/>
          <w:b w:val="false"/>
          <w:color w:val="000000"/>
          <w:sz w:val="22"/>
        </w:rPr>
        <w:t>(g)</w:t>
      </w:r>
      <w:r>
        <w:rPr>
          <w:rFonts w:ascii="Times New Roman;serif" w:hAnsi="Times New Roman;serif"/>
          <w:b w:val="false"/>
          <w:color w:val="000000"/>
          <w:sz w:val="20"/>
        </w:rPr>
        <w:t>unless otherwise provided in the Plan or by the Company in its discretion, the PSUs and the benefits evidenced by this Agreement do not create any entitlement to have the PSUs or any such benefits transferred to, or assumed by, another company nor to be exchanged, cashed out or substituted for, in connection with any corporate transaction affecting the Shares; and</w:t>
      </w:r>
    </w:p>
    <w:p>
      <w:pPr>
        <w:pStyle w:val="TextBody"/>
        <w:bidi w:val="0"/>
        <w:spacing w:lineRule="auto" w:line="288" w:before="0" w:after="240"/>
        <w:ind w:left="0" w:right="0" w:firstLine="720"/>
        <w:jc w:val="both"/>
        <w:rPr/>
      </w:pPr>
      <w:r>
        <w:rPr>
          <w:rFonts w:ascii="Times New Roman;serif" w:hAnsi="Times New Roman;serif"/>
          <w:b w:val="false"/>
          <w:color w:val="000000"/>
          <w:sz w:val="22"/>
        </w:rPr>
        <w:t>(h)</w:t>
      </w:r>
      <w:r>
        <w:rPr>
          <w:rFonts w:ascii="Times New Roman;serif" w:hAnsi="Times New Roman;serif"/>
          <w:b w:val="false"/>
          <w:color w:val="000000"/>
          <w:sz w:val="20"/>
        </w:rPr>
        <w:t>no entity in the Company Group shall be liable for any foreign exchange rate fluctuation between Participant’s local currency and the United States Dollar or the selection by the Company or any member of the Company Group in its sole discretion of an applicable foreign exchange rate that may affect the value of the PSUs (or the calculation of income or Tax-Related Items thereunder) or of any amounts due to Participant pursuant to the settlement of the PSUs or the subsequent sale of the Shares allocated to the PSUs.</w:t>
      </w:r>
    </w:p>
    <w:p>
      <w:pPr>
        <w:pStyle w:val="TextBody"/>
        <w:bidi w:val="0"/>
        <w:spacing w:lineRule="auto" w:line="288" w:before="0" w:after="240"/>
        <w:ind w:left="0" w:right="0" w:firstLine="720"/>
        <w:jc w:val="both"/>
        <w:rPr/>
      </w:pPr>
      <w:r>
        <w:rPr>
          <w:rFonts w:ascii="Times New Roman;serif" w:hAnsi="Times New Roman;serif"/>
          <w:b w:val="false"/>
          <w:color w:val="000000"/>
          <w:sz w:val="22"/>
        </w:rPr>
        <w:t>5.</w:t>
      </w:r>
      <w:r>
        <w:rPr>
          <w:rFonts w:ascii="Times New Roman;serif" w:hAnsi="Times New Roman;serif"/>
          <w:b/>
          <w:color w:val="000000"/>
          <w:sz w:val="20"/>
          <w:u w:val="single"/>
        </w:rPr>
        <w:t>Section 409A of the U.S. Internal Revenue Code</w:t>
      </w:r>
      <w:r>
        <w:rPr>
          <w:rFonts w:ascii="Times New Roman;serif" w:hAnsi="Times New Roman;serif"/>
          <w:b w:val="false"/>
          <w:color w:val="000000"/>
          <w:sz w:val="20"/>
        </w:rPr>
        <w:t>. All payments made and benefits provided under this Agreement are intended to be exempt from or comply with the requirements of Section 409A of the Code so that none of the payments or benefits will be subject to the adverse tax penalties imposed under Section 409A. Each tranche of PSUs that vests, or is scheduled to vest, pursuant to the Grant Notice shall be designated as a “separate payment” for purposes of Treasury Regulation Section 1.409A-2(b)(2). Notwithstanding anything in the Plan or this Agreement to the contrary, if the vesting of all or a portion of any unvested PSUs is accelerated in connection with the Participant’s termination of Continuous Service Status (provided that such termination is a “separation from service” within the meaning of Section 409A, as determined by the Company), other than due to death</w:t>
      </w:r>
      <w:r>
        <w:rPr>
          <w:rFonts w:ascii="Times New Roman;serif" w:hAnsi="Times New Roman;serif"/>
          <w:b/>
          <w:color w:val="000000"/>
          <w:sz w:val="20"/>
        </w:rPr>
        <w:t xml:space="preserve">, </w:t>
      </w:r>
      <w:r>
        <w:rPr>
          <w:rFonts w:ascii="Times New Roman;serif" w:hAnsi="Times New Roman;serif"/>
          <w:b w:val="false"/>
          <w:color w:val="000000"/>
          <w:sz w:val="20"/>
        </w:rPr>
        <w:t xml:space="preserve">and if both (a) the Participant is a “specified employee” within the meaning of Section 409A of the Code at the time of such termination of Continuous Service Status, and (b) the payment of such accelerated PSUs would result in the imposition of additional tax under Section 409A of the Code if paid to the Participant within the 6 month period following the Participant’s termination of Continuous Service Status, then the payment of such accelerated PSUs will not be made until the date that is 6 months and 1 day following the date of the Participant’s termination of Continuous Service Status, unless the Participant dies following such Participant’s termination of Continuous Service Status, in which case, the PSUs will be paid in Shares to the Participant’s estate as soon as practicable following Participant’s death. In no event will the Company reimburse Participant for any taxes or other penalties that may be imposed on Participant as a result of Section 409A and, by accepting the PSUs, Participant hereby indemnifies the Company for any liability that arises as a result of Section 409A. Notwithstanding any provision to the contrary, to the extent the period for </w:t>
      </w:r>
    </w:p>
    <w:p>
      <w:pPr>
        <w:pStyle w:val="TextBody"/>
        <w:bidi w:val="0"/>
        <w:spacing w:before="0" w:after="0"/>
        <w:ind w:left="0" w:right="0" w:firstLine="720"/>
        <w:jc w:val="right"/>
        <w:rPr/>
      </w:pPr>
      <w:r>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6480175" cy="455295"/>
                <wp:effectExtent l="0" t="0" r="0" b="0"/>
                <wp:wrapNone/>
                <wp:docPr id="200" name="Frame198"/>
                <a:graphic xmlns:a="http://schemas.openxmlformats.org/drawingml/2006/main">
                  <a:graphicData uri="http://schemas.microsoft.com/office/word/2010/wordprocessingShape">
                    <wps:wsp>
                      <wps:cNvSpPr txBox="1"/>
                      <wps:spPr>
                        <a:xfrm>
                          <a:off x="0" y="0"/>
                          <a:ext cx="6480175" cy="455295"/>
                        </a:xfrm>
                        <a:prstGeom prst="rect"/>
                        <a:solidFill>
                          <a:srgbClr val="FFFFFF"/>
                        </a:solidFill>
                      </wps:spPr>
                      <wps:txbx>
                        <w:txbxContent>
                          <w:p>
                            <w:pPr>
                              <w:pStyle w:val="TextBody"/>
                              <w:bidi w:val="0"/>
                              <w:spacing w:lineRule="auto" w:line="292" w:before="0" w:after="16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p>
                            <w:pPr>
                              <w:pStyle w:val="TextBody"/>
                              <w:bidi w:val="0"/>
                              <w:spacing w:before="0" w:after="16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8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92" w:before="0" w:after="160"/>
                        <w:jc w:val="center"/>
                        <w:rPr>
                          <w:rFonts w:ascii="Times New Roman;serif" w:hAnsi="Times New Roman;serif"/>
                          <w:b w:val="false"/>
                          <w:color w:val="000000"/>
                          <w:sz w:val="20"/>
                        </w:rPr>
                      </w:pPr>
                      <w:r>
                        <w:rPr>
                          <w:rFonts w:ascii="Times New Roman;serif" w:hAnsi="Times New Roman;serif"/>
                          <w:b w:val="false"/>
                          <w:color w:val="000000"/>
                          <w:sz w:val="20"/>
                        </w:rPr>
                        <w:t>3</w:t>
                      </w:r>
                    </w:p>
                    <w:p>
                      <w:pPr>
                        <w:pStyle w:val="TextBody"/>
                        <w:bidi w:val="0"/>
                        <w:spacing w:before="0" w:after="160"/>
                        <w:jc w:val="both"/>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Participant to complete the Release Requirement, if applicable, begins in one calendar year and ends in a second calendar year, any PSUs that would have otherwise been settled in the first calendar year will instead be settled in the second calendar year. </w:t>
      </w:r>
    </w:p>
    <w:p>
      <w:pPr>
        <w:pStyle w:val="TextBody"/>
        <w:bidi w:val="0"/>
        <w:spacing w:lineRule="auto" w:line="288" w:before="0" w:after="240"/>
        <w:ind w:left="0" w:right="0" w:firstLine="720"/>
        <w:jc w:val="both"/>
        <w:rPr/>
      </w:pPr>
      <w:r>
        <w:rPr>
          <w:rFonts w:ascii="Times New Roman;serif" w:hAnsi="Times New Roman;serif"/>
          <w:b w:val="false"/>
          <w:color w:val="000000"/>
          <w:sz w:val="22"/>
        </w:rPr>
        <w:t>6.</w:t>
      </w:r>
      <w:r>
        <w:rPr>
          <w:rFonts w:ascii="Times New Roman;serif" w:hAnsi="Times New Roman;serif"/>
          <w:b/>
          <w:color w:val="000000"/>
          <w:sz w:val="20"/>
          <w:u w:val="single"/>
        </w:rPr>
        <w:t>No Advice Regarding Grant</w:t>
      </w:r>
      <w:r>
        <w:rPr>
          <w:rFonts w:ascii="Times New Roman;serif" w:hAnsi="Times New Roman;serif"/>
          <w:b w:val="false"/>
          <w:color w:val="000000"/>
          <w:sz w:val="20"/>
        </w:rPr>
        <w:t>. The Company is not providing any tax, legal or financial advice, nor is the Company making any recommendations regarding Participant’s participation in the Plan, or Participant’s receipt of the PSUs, the vesting or settlement of the PSUs or the Shares allocated thereto or the sale of such Shares. Participant is hereby advised to consult with his or her own personal tax, legal and financial advisors regarding his or her participation in the Plan and the PSUs before accepting the PSUs or otherwise taking any action related to the PSUs or the Plan.</w:t>
      </w:r>
    </w:p>
    <w:p>
      <w:pPr>
        <w:pStyle w:val="TextBody"/>
        <w:bidi w:val="0"/>
        <w:spacing w:lineRule="auto" w:line="288" w:before="0" w:after="240"/>
        <w:ind w:left="0" w:right="0" w:firstLine="720"/>
        <w:jc w:val="both"/>
        <w:rPr/>
      </w:pPr>
      <w:r>
        <w:rPr>
          <w:rFonts w:ascii="Times New Roman;serif" w:hAnsi="Times New Roman;serif"/>
          <w:b w:val="false"/>
          <w:color w:val="000000"/>
          <w:sz w:val="22"/>
        </w:rPr>
        <w:t>7.</w:t>
      </w:r>
      <w:r>
        <w:rPr>
          <w:rFonts w:ascii="Times New Roman;serif" w:hAnsi="Times New Roman;serif"/>
          <w:b/>
          <w:color w:val="000000"/>
          <w:sz w:val="20"/>
          <w:u w:val="single"/>
        </w:rPr>
        <w:t>Data Privacy</w:t>
      </w:r>
      <w:r>
        <w:rPr>
          <w:rFonts w:ascii="Times New Roman;serif" w:hAnsi="Times New Roman;serif"/>
          <w:b w:val="false"/>
          <w:color w:val="000000"/>
          <w:sz w:val="20"/>
        </w:rPr>
        <w:t xml:space="preserve">. </w:t>
      </w:r>
    </w:p>
    <w:p>
      <w:pPr>
        <w:pStyle w:val="TextBody"/>
        <w:bidi w:val="0"/>
        <w:spacing w:lineRule="auto" w:line="288" w:before="0" w:after="240"/>
        <w:ind w:left="0" w:right="0" w:firstLine="1440"/>
        <w:jc w:val="both"/>
        <w:rPr/>
      </w:pPr>
      <w:r>
        <w:rPr>
          <w:rFonts w:ascii="Times New Roman;serif" w:hAnsi="Times New Roman;serif"/>
          <w:b/>
          <w:i/>
          <w:color w:val="000000"/>
          <w:sz w:val="20"/>
        </w:rPr>
        <w:t>Participant understands that the Company Group may hold certain personal information about Participant, including, but not limited to, Participant’s name, home address and telephone number, date of birth, social insurance number or other identification number, salary, nationality, job title, any Shares or directorships held in the Company, details of all Awards, or any other entitlement to Shares awarded, canceled, exercised, vested, unvested or outstanding in Participant’s favor (“</w:t>
      </w:r>
      <w:r>
        <w:rPr>
          <w:rFonts w:ascii="Times New Roman;serif" w:hAnsi="Times New Roman;serif"/>
          <w:b/>
          <w:i/>
          <w:color w:val="000000"/>
          <w:sz w:val="20"/>
          <w:u w:val="single"/>
        </w:rPr>
        <w:t>Data</w:t>
      </w:r>
      <w:r>
        <w:rPr>
          <w:color w:val="000000"/>
        </w:rPr>
        <w:t>”</w:t>
      </w:r>
      <w:r>
        <w:rPr>
          <w:rFonts w:ascii="Times New Roman;serif" w:hAnsi="Times New Roman;serif"/>
          <w:b/>
          <w:i/>
          <w:color w:val="000000"/>
          <w:sz w:val="20"/>
        </w:rPr>
        <w:t>), for the purpose of implementing, administering and managing the Plan, including, as the case may be, sensitive information pertaining to disability claims, (“</w:t>
      </w:r>
      <w:r>
        <w:rPr>
          <w:rFonts w:ascii="Times New Roman;serif" w:hAnsi="Times New Roman;serif"/>
          <w:b/>
          <w:i/>
          <w:color w:val="000000"/>
          <w:sz w:val="20"/>
          <w:u w:val="single"/>
        </w:rPr>
        <w:t>Data</w:t>
      </w:r>
      <w:r>
        <w:rPr>
          <w:color w:val="000000"/>
        </w:rPr>
        <w:t>”</w:t>
      </w:r>
      <w:r>
        <w:rPr>
          <w:rFonts w:ascii="Times New Roman;serif" w:hAnsi="Times New Roman;serif"/>
          <w:b/>
          <w:i/>
          <w:color w:val="000000"/>
          <w:sz w:val="20"/>
        </w:rPr>
        <w:t>), to the extent necessary for the sole purpose of implementing, administering and managing the Plan. Participant understands that Data will be transferred to such stock plan service provider as may be selected by the Company, presently or in the future, which may be assisting the Company with the implementation, administration and management of the Plan, to the extent necessary and for the sole purpose of the administration and management of the Plan.</w:t>
      </w:r>
    </w:p>
    <w:p>
      <w:pPr>
        <w:pStyle w:val="TextBody"/>
        <w:bidi w:val="0"/>
        <w:spacing w:lineRule="auto" w:line="288" w:before="0" w:after="240"/>
        <w:ind w:left="0" w:right="0" w:firstLine="1440"/>
        <w:jc w:val="both"/>
        <w:rPr>
          <w:rFonts w:ascii="Times New Roman;serif" w:hAnsi="Times New Roman;serif"/>
          <w:b/>
          <w:i/>
          <w:color w:val="000000"/>
          <w:sz w:val="20"/>
        </w:rPr>
      </w:pPr>
      <w:r>
        <w:rPr>
          <w:rFonts w:ascii="Times New Roman;serif" w:hAnsi="Times New Roman;serif"/>
          <w:b/>
          <w:i/>
          <w:color w:val="000000"/>
          <w:sz w:val="20"/>
        </w:rPr>
        <w:t>Participant understands that the recipients of the Data may be located in the United States or elsewhere, and that the recipient’s country (e.g., the United States) may have different data privacy laws and protections than Participant’s country.</w:t>
      </w:r>
    </w:p>
    <w:p>
      <w:pPr>
        <w:pStyle w:val="TextBody"/>
        <w:bidi w:val="0"/>
        <w:spacing w:lineRule="auto" w:line="288" w:before="0" w:after="240"/>
        <w:ind w:left="0" w:right="0" w:firstLine="720"/>
        <w:jc w:val="both"/>
        <w:rPr/>
      </w:pPr>
      <w:r>
        <w:rPr>
          <w:rFonts w:ascii="Times New Roman;serif" w:hAnsi="Times New Roman;serif"/>
          <w:b w:val="false"/>
          <w:color w:val="000000"/>
          <w:sz w:val="22"/>
        </w:rPr>
        <w:t>8.</w:t>
      </w:r>
      <w:r>
        <w:rPr>
          <w:rFonts w:ascii="Times New Roman;serif" w:hAnsi="Times New Roman;serif"/>
          <w:b/>
          <w:color w:val="000000"/>
          <w:sz w:val="20"/>
          <w:u w:val="single"/>
        </w:rPr>
        <w:t>Miscellaneous</w:t>
      </w:r>
      <w:r>
        <w:rPr>
          <w:rFonts w:ascii="Times New Roman;serif" w:hAnsi="Times New Roman;serif"/>
          <w:b w:val="false"/>
          <w:color w:val="000000"/>
          <w:sz w:val="20"/>
        </w:rPr>
        <w:t>.</w:t>
      </w:r>
    </w:p>
    <w:p>
      <w:pPr>
        <w:pStyle w:val="TextBody"/>
        <w:bidi w:val="0"/>
        <w:spacing w:lineRule="auto" w:line="288" w:before="0" w:after="240"/>
        <w:ind w:left="0" w:right="0" w:firstLine="720"/>
        <w:jc w:val="both"/>
        <w:rPr/>
      </w:pPr>
      <w:r>
        <w:rPr>
          <w:rFonts w:ascii="Times New Roman;serif" w:hAnsi="Times New Roman;serif"/>
          <w:b w:val="false"/>
          <w:color w:val="000000"/>
          <w:sz w:val="22"/>
        </w:rPr>
        <w:t>(a)</w:t>
      </w:r>
      <w:r>
        <w:rPr>
          <w:rFonts w:ascii="Times New Roman;serif" w:hAnsi="Times New Roman;serif"/>
          <w:b/>
          <w:color w:val="000000"/>
          <w:sz w:val="20"/>
          <w:u w:val="single"/>
        </w:rPr>
        <w:t>Governing Law and Venue</w:t>
      </w:r>
      <w:r>
        <w:rPr>
          <w:rFonts w:ascii="Times New Roman;serif" w:hAnsi="Times New Roman;serif"/>
          <w:b/>
          <w:color w:val="000000"/>
          <w:sz w:val="20"/>
        </w:rPr>
        <w:t xml:space="preserve">. </w:t>
      </w:r>
      <w:r>
        <w:rPr>
          <w:rFonts w:ascii="Times New Roman;serif" w:hAnsi="Times New Roman;serif"/>
          <w:b w:val="false"/>
          <w:color w:val="000000"/>
          <w:sz w:val="20"/>
        </w:rPr>
        <w:t>This Agreement and all acts and transactions pursuant hereto and the rights and obligations of the parties hereto shall be governed, construed and interpreted in accordance with the laws of the State of Delaware, without giving effect to principles of conflicts of law. For purposes of any action, lawsuit or other proceedings brought to enforce this Agreement, relating to it, or arising from it, the parties hereby submit and consent to the sole and exclusive jurisdiction of the Court of Chancery of the State of Delaware located in Wilmington, Delaware (or, if the Court of Chancery of the State of Delaware declines to accept jurisdiction over a particular matter, any state court located in Wilmington, Delaware or the United States District Court for the District of Delaware) and appellate courts thereof, and no other courts, where this grant is made and/or to be performed.</w:t>
      </w:r>
    </w:p>
    <w:p>
      <w:pPr>
        <w:pStyle w:val="TextBody"/>
        <w:bidi w:val="0"/>
        <w:spacing w:lineRule="auto" w:line="288" w:before="0" w:after="240"/>
        <w:ind w:left="0" w:right="0" w:firstLine="720"/>
        <w:jc w:val="both"/>
        <w:rPr/>
      </w:pPr>
      <w:r>
        <w:rPr>
          <w:rFonts w:ascii="Times New Roman;serif" w:hAnsi="Times New Roman;serif"/>
          <w:b w:val="false"/>
          <w:color w:val="000000"/>
          <w:sz w:val="22"/>
        </w:rPr>
        <w:t>(b)</w:t>
      </w:r>
      <w:r>
        <w:rPr>
          <w:rFonts w:ascii="Times New Roman;serif" w:hAnsi="Times New Roman;serif"/>
          <w:b/>
          <w:color w:val="000000"/>
          <w:sz w:val="20"/>
          <w:u w:val="single"/>
        </w:rPr>
        <w:t>Addendum and Sub-Plans</w:t>
      </w:r>
      <w:r>
        <w:rPr>
          <w:rFonts w:ascii="Times New Roman;serif" w:hAnsi="Times New Roman;serif"/>
          <w:b/>
          <w:color w:val="000000"/>
          <w:sz w:val="20"/>
        </w:rPr>
        <w:t xml:space="preserve">. </w:t>
      </w:r>
      <w:r>
        <w:rPr>
          <w:rFonts w:ascii="Times New Roman;serif" w:hAnsi="Times New Roman;serif"/>
          <w:b w:val="false"/>
          <w:color w:val="000000"/>
          <w:sz w:val="20"/>
        </w:rPr>
        <w:t>Notwithstanding any provisions in this Agreement, the PSUs shall be subject to any special terms and conditions set forth in any Addendum to this Agreement for Participant’s country. Moreover, if Participant relocates to one of the countries included in any Addendum, the special terms and conditions for such country will apply to Participant, to the extent the Company determines that the application of such terms and conditions is necessary or advisable for legal or administrative reasons. Any Addendum that may be attached hereto constitutes part of this Agreement. Further, the Plan shall be deemed to include any special terms and conditions set forth in any applicable sub-plan for Participant’s country (if any), and, if Participant relocates to a country for which the Company has established a sub-plan, the special terms and conditions for such country will apply to Participant, to the extent the Company determines that the application of such terms and conditions is necessary or advisable for legal or administrative reasons.</w:t>
      </w:r>
    </w:p>
    <w:p>
      <w:pPr>
        <w:pStyle w:val="TextBody"/>
        <w:bidi w:val="0"/>
        <w:spacing w:before="0" w:after="0"/>
        <w:ind w:left="0" w:right="0" w:firstLine="720"/>
        <w:jc w:val="right"/>
        <w:rPr/>
      </w:pPr>
      <w:r>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6480175" cy="455295"/>
                <wp:effectExtent l="0" t="0" r="0" b="0"/>
                <wp:wrapNone/>
                <wp:docPr id="201" name="Frame199"/>
                <a:graphic xmlns:a="http://schemas.openxmlformats.org/drawingml/2006/main">
                  <a:graphicData uri="http://schemas.microsoft.com/office/word/2010/wordprocessingShape">
                    <wps:wsp>
                      <wps:cNvSpPr txBox="1"/>
                      <wps:spPr>
                        <a:xfrm>
                          <a:off x="0" y="0"/>
                          <a:ext cx="6480175" cy="455295"/>
                        </a:xfrm>
                        <a:prstGeom prst="rect"/>
                        <a:solidFill>
                          <a:srgbClr val="FFFFFF"/>
                        </a:solidFill>
                      </wps:spPr>
                      <wps:txbx>
                        <w:txbxContent>
                          <w:p>
                            <w:pPr>
                              <w:pStyle w:val="TextBody"/>
                              <w:bidi w:val="0"/>
                              <w:spacing w:lineRule="auto" w:line="292" w:before="0" w:after="16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p>
                            <w:pPr>
                              <w:pStyle w:val="TextBody"/>
                              <w:bidi w:val="0"/>
                              <w:spacing w:before="0" w:after="16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8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92" w:before="0" w:after="160"/>
                        <w:jc w:val="center"/>
                        <w:rPr>
                          <w:rFonts w:ascii="Times New Roman;serif" w:hAnsi="Times New Roman;serif"/>
                          <w:b w:val="false"/>
                          <w:color w:val="000000"/>
                          <w:sz w:val="20"/>
                        </w:rPr>
                      </w:pPr>
                      <w:r>
                        <w:rPr>
                          <w:rFonts w:ascii="Times New Roman;serif" w:hAnsi="Times New Roman;serif"/>
                          <w:b w:val="false"/>
                          <w:color w:val="000000"/>
                          <w:sz w:val="20"/>
                        </w:rPr>
                        <w:t>4</w:t>
                      </w:r>
                    </w:p>
                    <w:p>
                      <w:pPr>
                        <w:pStyle w:val="TextBody"/>
                        <w:bidi w:val="0"/>
                        <w:spacing w:before="0" w:after="160"/>
                        <w:jc w:val="both"/>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2"/>
        </w:rPr>
        <w:t>(c)</w:t>
      </w:r>
      <w:r>
        <w:rPr>
          <w:rFonts w:ascii="Times New Roman;serif" w:hAnsi="Times New Roman;serif"/>
          <w:b/>
          <w:color w:val="000000"/>
          <w:sz w:val="20"/>
          <w:u w:val="single"/>
        </w:rPr>
        <w:t>Compensation Recovery</w:t>
      </w:r>
      <w:r>
        <w:rPr>
          <w:rFonts w:ascii="Times New Roman;serif" w:hAnsi="Times New Roman;serif"/>
          <w:b w:val="false"/>
          <w:color w:val="000000"/>
          <w:sz w:val="20"/>
        </w:rPr>
        <w:t>. Notwithstanding anything in the Grant Notice or PSU Agreement to the contrary, the Participant acknowledges and agrees that the Grant Notice and this PSU Agreement and the award described herein (and any settlement thereof) are subject to the terms and conditions of the Company’s clawback provisions, policy or policies (if any) as may exist or be in effect from time to time, including specifically to implement Section 10D of the Exchange Act and any applicable rules or regulations promulgated thereunder (including applicable rules and regulations of any national securities exchange on which the Shares at any point may be traded) (the “</w:t>
      </w:r>
      <w:r>
        <w:rPr>
          <w:rFonts w:ascii="Times New Roman;serif" w:hAnsi="Times New Roman;serif"/>
          <w:b w:val="false"/>
          <w:color w:val="000000"/>
          <w:sz w:val="20"/>
          <w:u w:val="single"/>
        </w:rPr>
        <w:t>Compensation Recovery Policy</w:t>
      </w:r>
      <w:r>
        <w:rPr>
          <w:color w:val="000000"/>
        </w:rPr>
        <w:t>”</w:t>
      </w:r>
      <w:r>
        <w:rPr>
          <w:rFonts w:ascii="Times New Roman;serif" w:hAnsi="Times New Roman;serif"/>
          <w:b w:val="false"/>
          <w:color w:val="000000"/>
          <w:sz w:val="20"/>
        </w:rPr>
        <w:t>), and that applicable provisions of the Grant Notice and this PSU Agreement (or any related documents) shall be interpreted consistently with (or deemed superseded by and/or subject to, as applicable) the terms and conditions of the Compensation Recovery Policy. Further, by accepting these PSUs, the Participant agrees (or has agreed) to fully cooperate with and assist the Company in connection with any of the Participant’s obligations to the Company pursuant to the Compensation Recovery Policy, and agrees (or has agreed) that the Company may enforce its rights under the Compensation Recovery Policy through any and all reasonable means permitted under applicable law as it deems necessary or desirable under the Compensation Recovery Policy, in each case from and after the effective dates thereof. Such cooperation and assistance shall include, but is not limited to, executing, completing and submitting any documentation necessary to facilitate the recovery or recoupment by the Company from the Participant of any such amounts, including from the Participants’ accounts or from any other compensation, to the extent permissible under Section 409A of the Code.</w:t>
      </w:r>
    </w:p>
    <w:p>
      <w:pPr>
        <w:pStyle w:val="TextBody"/>
        <w:bidi w:val="0"/>
        <w:spacing w:lineRule="auto" w:line="288" w:before="0" w:after="240"/>
        <w:ind w:left="0" w:right="0" w:firstLine="720"/>
        <w:jc w:val="both"/>
        <w:rPr/>
      </w:pPr>
      <w:r>
        <w:rPr>
          <w:rFonts w:ascii="Times New Roman;serif" w:hAnsi="Times New Roman;serif"/>
          <w:b w:val="false"/>
          <w:color w:val="000000"/>
          <w:sz w:val="22"/>
        </w:rPr>
        <w:t>(d)</w:t>
      </w:r>
      <w:r>
        <w:rPr>
          <w:rFonts w:ascii="Times New Roman;serif" w:hAnsi="Times New Roman;serif"/>
          <w:b/>
          <w:color w:val="000000"/>
          <w:sz w:val="20"/>
          <w:u w:val="single"/>
        </w:rPr>
        <w:t>Entire Agreement; Enforcement of Rights; Amendment</w:t>
      </w:r>
      <w:r>
        <w:rPr>
          <w:rFonts w:ascii="Times New Roman;serif" w:hAnsi="Times New Roman;serif"/>
          <w:b/>
          <w:color w:val="000000"/>
          <w:sz w:val="20"/>
        </w:rPr>
        <w:t xml:space="preserve">. </w:t>
      </w:r>
      <w:r>
        <w:rPr>
          <w:rFonts w:ascii="Times New Roman;serif" w:hAnsi="Times New Roman;serif"/>
          <w:b w:val="false"/>
          <w:color w:val="000000"/>
          <w:sz w:val="20"/>
        </w:rPr>
        <w:t>This Agreement, together with the Plan the Grant Notice, and the Performance Memo, sets forth the entire agreement and understanding of the parties relating to the subject matter herein and merges all prior or contemporaneous discussions between them. Except as contemplated by the Plan, no modification of or amendment to this Agreement, nor any waiver of any rights under this Agreement, shall be effective unless in writing signed by the parties to this Agreement to the extent it would materially and adversely affect the rights of Participant. The failure by either party to enforce any rights under this Agreement shall not be construed as a waiver of any rights of such party. Notwithstanding anything to the contrary in the Plan or this Agreement, the Company reserves the right to revise this Agreement as it deems necessary or advisable, in its sole discretion and without the consent of Participant, to comply with Code Section 409A or to otherwise avoid imposition of any additional tax or income recognition under Section 409A of the Code in connection with the PSUs.</w:t>
      </w:r>
    </w:p>
    <w:p>
      <w:pPr>
        <w:pStyle w:val="TextBody"/>
        <w:bidi w:val="0"/>
        <w:spacing w:lineRule="auto" w:line="288" w:before="0" w:after="240"/>
        <w:ind w:left="0" w:right="0" w:firstLine="720"/>
        <w:jc w:val="both"/>
        <w:rPr/>
      </w:pPr>
      <w:r>
        <w:rPr>
          <w:rFonts w:ascii="Times New Roman;serif" w:hAnsi="Times New Roman;serif"/>
          <w:b w:val="false"/>
          <w:color w:val="000000"/>
          <w:sz w:val="22"/>
        </w:rPr>
        <w:t>(e)</w:t>
      </w:r>
      <w:r>
        <w:rPr>
          <w:rFonts w:ascii="Times New Roman;serif" w:hAnsi="Times New Roman;serif"/>
          <w:b/>
          <w:color w:val="000000"/>
          <w:sz w:val="20"/>
          <w:u w:val="single"/>
        </w:rPr>
        <w:t>Severability</w:t>
      </w:r>
      <w:r>
        <w:rPr>
          <w:rFonts w:ascii="Times New Roman;serif" w:hAnsi="Times New Roman;serif"/>
          <w:b/>
          <w:color w:val="000000"/>
          <w:sz w:val="20"/>
        </w:rPr>
        <w:t xml:space="preserve">. </w:t>
      </w:r>
      <w:r>
        <w:rPr>
          <w:rFonts w:ascii="Times New Roman;serif" w:hAnsi="Times New Roman;serif"/>
          <w:b w:val="false"/>
          <w:color w:val="000000"/>
          <w:sz w:val="20"/>
        </w:rPr>
        <w:t>If one or more provisions of this Agreement, the Grant Notice or the Plan are held to be unenforceable under Applicable Laws, the parties agree to renegotiate such provision in good faith. In the event that the parties do not reach a mutually agreeable and enforceable replacement for such provision, then (i) such provision shall be excluded from this Agreement, the Grant Notice and the Plan, (ii) the balance of the Agreement, the Grant Notice and the Plan shall be interpreted as if such provision were so excluded and (iii) the balance of the Agreement, the Grant Notice and the Plan shall be enforceable in accordance with its terms.</w:t>
      </w:r>
    </w:p>
    <w:p>
      <w:pPr>
        <w:pStyle w:val="TextBody"/>
        <w:bidi w:val="0"/>
        <w:spacing w:lineRule="auto" w:line="288" w:before="0" w:after="240"/>
        <w:ind w:left="0" w:right="0" w:firstLine="720"/>
        <w:jc w:val="both"/>
        <w:rPr/>
      </w:pPr>
      <w:r>
        <w:rPr>
          <w:rFonts w:ascii="Times New Roman;serif" w:hAnsi="Times New Roman;serif"/>
          <w:b w:val="false"/>
          <w:color w:val="000000"/>
          <w:sz w:val="22"/>
        </w:rPr>
        <w:t>(f)</w:t>
      </w:r>
      <w:r>
        <w:rPr>
          <w:rFonts w:ascii="Times New Roman;serif" w:hAnsi="Times New Roman;serif"/>
          <w:b/>
          <w:color w:val="000000"/>
          <w:sz w:val="20"/>
          <w:u w:val="single"/>
        </w:rPr>
        <w:t>Language</w:t>
      </w:r>
      <w:r>
        <w:rPr>
          <w:rFonts w:ascii="Times New Roman;serif" w:hAnsi="Times New Roman;serif"/>
          <w:b/>
          <w:color w:val="000000"/>
          <w:sz w:val="20"/>
        </w:rPr>
        <w:t xml:space="preserve">. </w:t>
      </w:r>
      <w:r>
        <w:rPr>
          <w:rFonts w:ascii="Times New Roman;serif" w:hAnsi="Times New Roman;serif"/>
          <w:b w:val="false"/>
          <w:color w:val="000000"/>
          <w:sz w:val="20"/>
        </w:rPr>
        <w:t>If Participant has received this Agreement, the Grant Notice, the Performance Memo, the Plan or any other document related to the PSUs and/or the Plan translated into a language other than English and if the meaning of the translated version is different than the English version, the English version will control.</w:t>
      </w:r>
    </w:p>
    <w:p>
      <w:pPr>
        <w:pStyle w:val="TextBody"/>
        <w:bidi w:val="0"/>
        <w:spacing w:lineRule="auto" w:line="288" w:before="0" w:after="240"/>
        <w:ind w:left="0" w:right="0" w:firstLine="720"/>
        <w:jc w:val="both"/>
        <w:rPr/>
      </w:pPr>
      <w:r>
        <w:rPr>
          <w:rFonts w:ascii="Times New Roman;serif" w:hAnsi="Times New Roman;serif"/>
          <w:b w:val="false"/>
          <w:color w:val="000000"/>
          <w:sz w:val="22"/>
        </w:rPr>
        <w:t>(g)</w:t>
      </w:r>
      <w:r>
        <w:rPr>
          <w:rFonts w:ascii="Times New Roman;serif" w:hAnsi="Times New Roman;serif"/>
          <w:b/>
          <w:color w:val="000000"/>
          <w:sz w:val="20"/>
          <w:u w:val="single"/>
        </w:rPr>
        <w:t>Imposition of Other Requirements</w:t>
      </w:r>
      <w:r>
        <w:rPr>
          <w:rFonts w:ascii="Times New Roman;serif" w:hAnsi="Times New Roman;serif"/>
          <w:b/>
          <w:color w:val="000000"/>
          <w:sz w:val="20"/>
        </w:rPr>
        <w:t xml:space="preserve">. </w:t>
      </w:r>
      <w:r>
        <w:rPr>
          <w:rFonts w:ascii="Times New Roman;serif" w:hAnsi="Times New Roman;serif"/>
          <w:b w:val="false"/>
          <w:color w:val="000000"/>
          <w:sz w:val="20"/>
        </w:rPr>
        <w:t xml:space="preserve">The Company reserves the right to impose other requirements on Participant’s participation in the Plan, on the PSUs and on any Shares allocated to the PSUs, to the extent the Company determines it is necessary or advisable for legal or administrative reasons, and to require Participant to sign any additional agreements or undertakings that may be necessary to accomplish the foregoing. Participant also acknowledges that the Applicable Laws of the country in which Participant is residing or working at the time of grant, vesting and settlement of the PSUs or the sale of Shares received pursuant to the PSUs (including any rules or regulations governing securities, foreign exchange, tax, labor, or other matters) may subject Participant </w:t>
      </w:r>
    </w:p>
    <w:p>
      <w:pPr>
        <w:pStyle w:val="TextBody"/>
        <w:bidi w:val="0"/>
        <w:spacing w:before="0" w:after="0"/>
        <w:ind w:left="0" w:right="0" w:firstLine="720"/>
        <w:jc w:val="right"/>
        <w:rPr/>
      </w:pPr>
      <w:r>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6480175" cy="455295"/>
                <wp:effectExtent l="0" t="0" r="0" b="0"/>
                <wp:wrapNone/>
                <wp:docPr id="202" name="Frame200"/>
                <a:graphic xmlns:a="http://schemas.openxmlformats.org/drawingml/2006/main">
                  <a:graphicData uri="http://schemas.microsoft.com/office/word/2010/wordprocessingShape">
                    <wps:wsp>
                      <wps:cNvSpPr txBox="1"/>
                      <wps:spPr>
                        <a:xfrm>
                          <a:off x="0" y="0"/>
                          <a:ext cx="6480175" cy="455295"/>
                        </a:xfrm>
                        <a:prstGeom prst="rect"/>
                        <a:solidFill>
                          <a:srgbClr val="FFFFFF"/>
                        </a:solidFill>
                      </wps:spPr>
                      <wps:txbx>
                        <w:txbxContent>
                          <w:p>
                            <w:pPr>
                              <w:pStyle w:val="TextBody"/>
                              <w:bidi w:val="0"/>
                              <w:spacing w:lineRule="auto" w:line="292" w:before="0" w:after="16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p>
                            <w:pPr>
                              <w:pStyle w:val="TextBody"/>
                              <w:bidi w:val="0"/>
                              <w:spacing w:before="0" w:after="16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8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92" w:before="0" w:after="160"/>
                        <w:jc w:val="center"/>
                        <w:rPr>
                          <w:rFonts w:ascii="Times New Roman;serif" w:hAnsi="Times New Roman;serif"/>
                          <w:b w:val="false"/>
                          <w:color w:val="000000"/>
                          <w:sz w:val="20"/>
                        </w:rPr>
                      </w:pPr>
                      <w:r>
                        <w:rPr>
                          <w:rFonts w:ascii="Times New Roman;serif" w:hAnsi="Times New Roman;serif"/>
                          <w:b w:val="false"/>
                          <w:color w:val="000000"/>
                          <w:sz w:val="20"/>
                        </w:rPr>
                        <w:t>5</w:t>
                      </w:r>
                    </w:p>
                    <w:p>
                      <w:pPr>
                        <w:pStyle w:val="TextBody"/>
                        <w:bidi w:val="0"/>
                        <w:spacing w:before="0" w:after="160"/>
                        <w:jc w:val="both"/>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to additional procedural or regulatory requirements that Participant is and will be solely responsible for and must fulfill. Such requirements may be outlined in, but are not limited to, any Addendum attached hereto.</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Notwithstanding any provision herein, the PSUs and Participant’s participation in the Plan shall be subject to any applicable special terms and conditions or disclosures as set forth in any Addendum attached hereto.</w:t>
      </w:r>
    </w:p>
    <w:p>
      <w:pPr>
        <w:pStyle w:val="TextBody"/>
        <w:bidi w:val="0"/>
        <w:spacing w:lineRule="auto" w:line="288" w:before="0" w:after="240"/>
        <w:ind w:left="0" w:right="0" w:firstLine="720"/>
        <w:jc w:val="both"/>
        <w:rPr/>
      </w:pPr>
      <w:r>
        <w:rPr>
          <w:rFonts w:ascii="Times New Roman;serif" w:hAnsi="Times New Roman;serif"/>
          <w:b w:val="false"/>
          <w:color w:val="000000"/>
          <w:sz w:val="22"/>
        </w:rPr>
        <w:t>(h)</w:t>
      </w:r>
      <w:r>
        <w:rPr>
          <w:rFonts w:ascii="Times New Roman;serif" w:hAnsi="Times New Roman;serif"/>
          <w:b/>
          <w:color w:val="000000"/>
          <w:sz w:val="20"/>
          <w:u w:val="single"/>
        </w:rPr>
        <w:t>Notices</w:t>
      </w:r>
      <w:r>
        <w:rPr>
          <w:rFonts w:ascii="Times New Roman;serif" w:hAnsi="Times New Roman;serif"/>
          <w:b/>
          <w:color w:val="000000"/>
          <w:sz w:val="20"/>
        </w:rPr>
        <w:t xml:space="preserve">. </w:t>
      </w:r>
      <w:r>
        <w:rPr>
          <w:rFonts w:ascii="Times New Roman;serif" w:hAnsi="Times New Roman;serif"/>
          <w:b w:val="false"/>
          <w:color w:val="000000"/>
          <w:sz w:val="20"/>
        </w:rPr>
        <w:t>Any notice, demand or request required or permitted to be given under this Agreement shall be in writing and shall be deemed sufficient when delivered personally or by overnight courier or sent by email or fax, or 48 hours after being deposited in the U.S. mail or a comparable foreign mail service, as certified or registered mail with postage or shipping charges prepaid, addressed to the party to be notified at such party’s address as set forth on the signature page, as subsequently modified by written notice, or if no address is specified on the signature page, at the most recent address, email or fax number set forth in the Company’s books and records.</w:t>
      </w:r>
    </w:p>
    <w:p>
      <w:pPr>
        <w:pStyle w:val="TextBody"/>
        <w:bidi w:val="0"/>
        <w:spacing w:lineRule="auto" w:line="288" w:before="0" w:after="240"/>
        <w:ind w:left="0" w:right="0" w:firstLine="720"/>
        <w:jc w:val="both"/>
        <w:rPr/>
      </w:pPr>
      <w:r>
        <w:rPr>
          <w:rFonts w:ascii="Times New Roman;serif" w:hAnsi="Times New Roman;serif"/>
          <w:b w:val="false"/>
          <w:color w:val="000000"/>
          <w:sz w:val="22"/>
        </w:rPr>
        <w:t>(i)</w:t>
      </w:r>
      <w:r>
        <w:rPr>
          <w:rFonts w:ascii="Times New Roman;serif" w:hAnsi="Times New Roman;serif"/>
          <w:b/>
          <w:color w:val="000000"/>
          <w:sz w:val="20"/>
          <w:u w:val="single"/>
        </w:rPr>
        <w:t>Counterparts</w:t>
      </w:r>
      <w:r>
        <w:rPr>
          <w:rFonts w:ascii="Times New Roman;serif" w:hAnsi="Times New Roman;serif"/>
          <w:b/>
          <w:color w:val="000000"/>
          <w:sz w:val="20"/>
        </w:rPr>
        <w:t xml:space="preserve">. </w:t>
      </w:r>
      <w:r>
        <w:rPr>
          <w:rFonts w:ascii="Times New Roman;serif" w:hAnsi="Times New Roman;serif"/>
          <w:b w:val="false"/>
          <w:color w:val="000000"/>
          <w:sz w:val="20"/>
        </w:rPr>
        <w:t>This Agreement may be executed in two or more counterparts, each of which shall be deemed an original and all of which together shall constitute one instrument. Facsimile, email or other electronic execution and delivery of this Agreement (including but not limited to execution by electronic signature or click-through electronic acceptance) shall constitute valid and binding execution and delivery for all purposes and shall be deemed to be, and have the effect of, an original signature.</w:t>
      </w:r>
    </w:p>
    <w:p>
      <w:pPr>
        <w:pStyle w:val="TextBody"/>
        <w:bidi w:val="0"/>
        <w:spacing w:lineRule="auto" w:line="288" w:before="0" w:after="240"/>
        <w:ind w:left="0" w:right="0" w:firstLine="720"/>
        <w:jc w:val="both"/>
        <w:rPr/>
      </w:pPr>
      <w:r>
        <w:rPr>
          <w:rFonts w:ascii="Times New Roman;serif" w:hAnsi="Times New Roman;serif"/>
          <w:b w:val="false"/>
          <w:color w:val="000000"/>
          <w:sz w:val="22"/>
        </w:rPr>
        <w:t>(j)</w:t>
      </w:r>
      <w:r>
        <w:rPr>
          <w:rFonts w:ascii="Times New Roman;serif" w:hAnsi="Times New Roman;serif"/>
          <w:b/>
          <w:color w:val="000000"/>
          <w:sz w:val="20"/>
          <w:u w:val="single"/>
        </w:rPr>
        <w:t>Successors and Assigns</w:t>
      </w:r>
      <w:r>
        <w:rPr>
          <w:rFonts w:ascii="Times New Roman;serif" w:hAnsi="Times New Roman;serif"/>
          <w:b/>
          <w:color w:val="000000"/>
          <w:sz w:val="20"/>
        </w:rPr>
        <w:t xml:space="preserve">. </w:t>
      </w:r>
      <w:r>
        <w:rPr>
          <w:rFonts w:ascii="Times New Roman;serif" w:hAnsi="Times New Roman;serif"/>
          <w:b w:val="false"/>
          <w:color w:val="000000"/>
          <w:sz w:val="20"/>
        </w:rPr>
        <w:t>The rights and benefits of this Agreement shall inure to the benefit of, and be enforceable by the Company’s successors and assigns. The rights and obligations of Participant under this Agreement may only be assigned with the prior written consent of the Company.</w:t>
      </w:r>
    </w:p>
    <w:p>
      <w:pPr>
        <w:pStyle w:val="TextBody"/>
        <w:bidi w:val="0"/>
        <w:spacing w:lineRule="auto" w:line="288" w:before="0" w:after="240"/>
        <w:ind w:left="0" w:right="0" w:firstLine="720"/>
        <w:jc w:val="both"/>
        <w:rPr/>
      </w:pPr>
      <w:r>
        <w:rPr>
          <w:rFonts w:ascii="Times New Roman;serif" w:hAnsi="Times New Roman;serif"/>
          <w:b w:val="false"/>
          <w:color w:val="000000"/>
          <w:sz w:val="22"/>
        </w:rPr>
        <w:t>(k)</w:t>
      </w:r>
      <w:r>
        <w:rPr>
          <w:rFonts w:ascii="Times New Roman;serif" w:hAnsi="Times New Roman;serif"/>
          <w:b/>
          <w:color w:val="000000"/>
          <w:sz w:val="20"/>
          <w:u w:val="single"/>
        </w:rPr>
        <w:t>Electronic Delivery</w:t>
      </w:r>
      <w:r>
        <w:rPr>
          <w:rFonts w:ascii="Times New Roman;serif" w:hAnsi="Times New Roman;serif"/>
          <w:b/>
          <w:color w:val="000000"/>
          <w:sz w:val="20"/>
        </w:rPr>
        <w:t xml:space="preserve">. </w:t>
      </w:r>
      <w:r>
        <w:rPr>
          <w:rFonts w:ascii="Times New Roman;serif" w:hAnsi="Times New Roman;serif"/>
          <w:b w:val="false"/>
          <w:color w:val="000000"/>
          <w:sz w:val="20"/>
        </w:rPr>
        <w:t>The Company may, in its sole discretion, decide to deliver to Participant by email or any other electronic means any documents, elections or notices related to this Agreement, the PSUs, the Shares allocated to the PSUs, Participant’s current or future participation in the Plan, securities of the Company or any member of the Company Group or any other matter, including documents, elections and/or notices required to be delivered to Participant by applicable securities law or any other Applicable Laws or the Company’s Amended Certificate of Incorporation or Bylaws. By accepting this Agreement, whether electronically or otherwise, Participant hereby consents to receive such documents and notices by such electronic delivery and agrees to participate in the Plan through an on-line or electronic system established and maintained by the Company or a third party designated by the Company, including but not limited to the use of electronic signatures or click-through electronic acceptance of terms and conditions.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720"/>
        <w:jc w:val="right"/>
        <w:rPr/>
      </w:pPr>
      <w:r>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6480175" cy="455295"/>
                <wp:effectExtent l="0" t="0" r="0" b="0"/>
                <wp:wrapNone/>
                <wp:docPr id="203" name="Frame201"/>
                <a:graphic xmlns:a="http://schemas.openxmlformats.org/drawingml/2006/main">
                  <a:graphicData uri="http://schemas.microsoft.com/office/word/2010/wordprocessingShape">
                    <wps:wsp>
                      <wps:cNvSpPr txBox="1"/>
                      <wps:spPr>
                        <a:xfrm>
                          <a:off x="0" y="0"/>
                          <a:ext cx="6480175" cy="455295"/>
                        </a:xfrm>
                        <a:prstGeom prst="rect"/>
                        <a:solidFill>
                          <a:srgbClr val="FFFFFF"/>
                        </a:solidFill>
                      </wps:spPr>
                      <wps:txbx>
                        <w:txbxContent>
                          <w:p>
                            <w:pPr>
                              <w:pStyle w:val="TextBody"/>
                              <w:bidi w:val="0"/>
                              <w:spacing w:lineRule="auto" w:line="292" w:before="0" w:after="16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p>
                            <w:pPr>
                              <w:pStyle w:val="TextBody"/>
                              <w:bidi w:val="0"/>
                              <w:spacing w:before="0" w:after="16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8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92" w:before="0" w:after="160"/>
                        <w:jc w:val="center"/>
                        <w:rPr>
                          <w:rFonts w:ascii="Times New Roman;serif" w:hAnsi="Times New Roman;serif"/>
                          <w:b w:val="false"/>
                          <w:color w:val="000000"/>
                          <w:sz w:val="20"/>
                        </w:rPr>
                      </w:pPr>
                      <w:r>
                        <w:rPr>
                          <w:rFonts w:ascii="Times New Roman;serif" w:hAnsi="Times New Roman;serif"/>
                          <w:b w:val="false"/>
                          <w:color w:val="000000"/>
                          <w:sz w:val="20"/>
                        </w:rPr>
                        <w:t>6</w:t>
                      </w:r>
                    </w:p>
                    <w:p>
                      <w:pPr>
                        <w:pStyle w:val="TextBody"/>
                        <w:bidi w:val="0"/>
                        <w:spacing w:before="0" w:after="160"/>
                        <w:jc w:val="both"/>
                        <w:rPr/>
                      </w:pPr>
                      <w:r>
                        <w:rPr/>
                      </w:r>
                    </w:p>
                  </w:txbxContent>
                </v:textbox>
                <w10:wrap type="none"/>
              </v:rect>
            </w:pict>
          </mc:Fallback>
        </mc:AlternateContent>
      </w:r>
    </w:p>
    <w:p>
      <w:pPr>
        <w:pStyle w:val="TextBody"/>
        <w:bidi w:val="0"/>
        <w:spacing w:lineRule="auto" w:line="288" w:before="0" w:after="0"/>
        <w:jc w:val="center"/>
        <w:rPr/>
      </w:pPr>
      <w:r>
        <w:rPr>
          <w:rFonts w:ascii="Times New Roman;serif" w:hAnsi="Times New Roman;serif"/>
          <w:b/>
          <w:color w:val="000000"/>
          <w:sz w:val="20"/>
        </w:rPr>
        <w:t>PERFORMANCE MEMO</w:t>
        <w:br/>
        <w:t>TO</w:t>
        <w:br/>
        <w:t>PERFORMANCE SHARE UNITS AGREEMENT</w:t>
      </w:r>
      <w:r>
        <w:rPr>
          <w:rFonts w:ascii="Times New Roman;serif" w:hAnsi="Times New Roman;serif"/>
          <w:b w:val="false"/>
          <w:color w:val="000000"/>
          <w:sz w:val="20"/>
        </w:rPr>
        <w:br/>
        <w:br/>
      </w:r>
      <w:r>
        <w:rPr>
          <w:rFonts w:ascii="Times New Roman;serif" w:hAnsi="Times New Roman;serif"/>
          <w:b/>
          <w:color w:val="000000"/>
          <w:sz w:val="20"/>
        </w:rPr>
        <w:t>PERFORMANCE GOALS FOR PSU AWARD</w:t>
      </w:r>
    </w:p>
    <w:p>
      <w:pPr>
        <w:pStyle w:val="TextBody"/>
        <w:bidi w:val="0"/>
        <w:spacing w:before="0" w:after="240"/>
        <w:jc w:val="both"/>
        <w:rPr/>
      </w:pPr>
      <w:r>
        <w:rPr/>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Date of Grant: __________</w:t>
      </w:r>
    </w:p>
    <w:p>
      <w:pPr>
        <w:pStyle w:val="TextBody"/>
        <w:bidi w:val="0"/>
        <w:spacing w:lineRule="auto" w:line="288" w:before="0" w:after="240"/>
        <w:jc w:val="both"/>
        <w:rPr/>
      </w:pPr>
      <w:r>
        <w:rPr>
          <w:rFonts w:ascii="Times New Roman;serif" w:hAnsi="Times New Roman;serif"/>
          <w:b w:val="false"/>
          <w:color w:val="000000"/>
          <w:sz w:val="20"/>
        </w:rPr>
        <w:t>This Performance Memorandum (the “</w:t>
      </w:r>
      <w:r>
        <w:rPr>
          <w:rFonts w:ascii="Times New Roman;serif" w:hAnsi="Times New Roman;serif"/>
          <w:b w:val="false"/>
          <w:color w:val="000000"/>
          <w:sz w:val="20"/>
          <w:u w:val="single"/>
        </w:rPr>
        <w:t>Performance Memo</w:t>
      </w:r>
      <w:r>
        <w:rPr>
          <w:color w:val="000000"/>
        </w:rPr>
        <w:t>”</w:t>
      </w:r>
      <w:r>
        <w:rPr>
          <w:rFonts w:ascii="Times New Roman;serif" w:hAnsi="Times New Roman;serif"/>
          <w:b w:val="false"/>
          <w:color w:val="000000"/>
          <w:sz w:val="20"/>
        </w:rPr>
        <w:t>) applies to the PSUs granted to the Participant on the Date of Grant and applies with respect to the Performance Share Unit Agreement (the “</w:t>
      </w:r>
      <w:r>
        <w:rPr>
          <w:rFonts w:ascii="Times New Roman;serif" w:hAnsi="Times New Roman;serif"/>
          <w:b w:val="false"/>
          <w:color w:val="000000"/>
          <w:sz w:val="20"/>
          <w:u w:val="single"/>
        </w:rPr>
        <w:t>PSU Agreement</w:t>
      </w:r>
      <w:r>
        <w:rPr>
          <w:color w:val="000000"/>
        </w:rPr>
        <w:t>”</w:t>
      </w:r>
      <w:r>
        <w:rPr>
          <w:rFonts w:ascii="Times New Roman;serif" w:hAnsi="Times New Roman;serif"/>
          <w:b w:val="false"/>
          <w:color w:val="000000"/>
          <w:sz w:val="20"/>
        </w:rPr>
        <w:t>) and the Performance Share Unit Grant Notice between the Company and the Participant (the “</w:t>
      </w:r>
      <w:r>
        <w:rPr>
          <w:rFonts w:ascii="Times New Roman;serif" w:hAnsi="Times New Roman;serif"/>
          <w:b w:val="false"/>
          <w:color w:val="000000"/>
          <w:sz w:val="20"/>
          <w:u w:val="single"/>
        </w:rPr>
        <w:t>Grant Notice</w:t>
      </w:r>
      <w:r>
        <w:rPr>
          <w:color w:val="000000"/>
        </w:rPr>
        <w:t>”</w:t>
      </w:r>
      <w:r>
        <w:rPr>
          <w:rFonts w:ascii="Times New Roman;serif" w:hAnsi="Times New Roman;serif"/>
          <w:b w:val="false"/>
          <w:color w:val="000000"/>
          <w:sz w:val="20"/>
        </w:rPr>
        <w:t>). Capitalized terms used in this Performance Memo that are not specifically defined in this Performance Memo have the meanings assigned to them in the PSU Agreement, the Grant Notice or in the Plan, as applicable.</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The actual number of PSUs earned by Grantee will be determined by the Committee following the end of the Performance Period using data as of, and including, the last day of the Performance Period under the rules described below. Any PSUs not earned will be canceled and forfeited. </w:t>
      </w:r>
    </w:p>
    <w:p>
      <w:pPr>
        <w:pStyle w:val="TextBody"/>
        <w:bidi w:val="0"/>
        <w:spacing w:lineRule="auto" w:line="288" w:before="240" w:after="240"/>
        <w:ind w:left="0" w:right="0" w:hanging="360"/>
        <w:jc w:val="both"/>
        <w:rPr/>
      </w:pPr>
      <w:r>
        <w:rPr>
          <w:rFonts w:ascii="Times New Roman;serif" w:hAnsi="Times New Roman;serif"/>
          <w:b w:val="false"/>
          <w:color w:val="000000"/>
          <w:sz w:val="22"/>
        </w:rPr>
        <w:t>1.</w:t>
      </w:r>
      <w:r>
        <w:rPr>
          <w:rFonts w:ascii="Times New Roman;serif" w:hAnsi="Times New Roman;serif"/>
          <w:b w:val="false"/>
          <w:color w:val="000000"/>
          <w:sz w:val="20"/>
        </w:rPr>
        <w:t>The actual number of Shares delivered to Participant in settlement of the PSUs earned under the Grant Notice and PSU Agreement will be determined based on actual performance results as described below, subject to Section 2 of the PSU Agreement.</w:t>
      </w:r>
    </w:p>
    <w:p>
      <w:pPr>
        <w:pStyle w:val="TextBody"/>
        <w:bidi w:val="0"/>
        <w:spacing w:lineRule="auto" w:line="288" w:before="240" w:after="240"/>
        <w:ind w:left="0" w:right="0" w:hanging="360"/>
        <w:jc w:val="both"/>
        <w:rPr/>
      </w:pPr>
      <w:r>
        <w:rPr>
          <w:rFonts w:ascii="Times New Roman;serif" w:hAnsi="Times New Roman;serif"/>
          <w:b w:val="false"/>
          <w:color w:val="000000"/>
          <w:sz w:val="22"/>
        </w:rPr>
        <w:t>2.</w:t>
      </w:r>
      <w:r>
        <w:rPr>
          <w:rFonts w:ascii="Times New Roman;serif" w:hAnsi="Times New Roman;serif"/>
          <w:b w:val="false"/>
          <w:color w:val="000000"/>
          <w:sz w:val="20"/>
        </w:rPr>
        <w:t>The PSUs subject to the Grant Notice and PSU Agreement are earned based on the achievement of the Performance Goals over the Performance Period.</w:t>
      </w:r>
    </w:p>
    <w:p>
      <w:pPr>
        <w:pStyle w:val="TextBody"/>
        <w:bidi w:val="0"/>
        <w:spacing w:lineRule="auto" w:line="288" w:before="240" w:after="240"/>
        <w:ind w:left="0" w:right="0" w:hanging="360"/>
        <w:jc w:val="both"/>
        <w:rPr/>
      </w:pPr>
      <w:r>
        <w:rPr>
          <w:rFonts w:ascii="Times New Roman;serif" w:hAnsi="Times New Roman;serif"/>
          <w:b w:val="false"/>
          <w:color w:val="000000"/>
          <w:sz w:val="22"/>
        </w:rPr>
        <w:t>3.</w:t>
      </w:r>
      <w:r>
        <w:rPr>
          <w:rFonts w:ascii="Times New Roman;serif" w:hAnsi="Times New Roman;serif"/>
          <w:b w:val="false"/>
          <w:color w:val="000000"/>
          <w:sz w:val="20"/>
        </w:rPr>
        <w:t>50% of the Target PSUs will be earned based on the achievement of Revenue (the “</w:t>
      </w:r>
      <w:r>
        <w:rPr>
          <w:rFonts w:ascii="Times New Roman;serif" w:hAnsi="Times New Roman;serif"/>
          <w:b w:val="false"/>
          <w:color w:val="000000"/>
          <w:sz w:val="20"/>
          <w:u w:val="single"/>
        </w:rPr>
        <w:t>Revenue PSUs</w:t>
      </w:r>
      <w:r>
        <w:rPr>
          <w:color w:val="000000"/>
        </w:rPr>
        <w:t>”</w:t>
      </w:r>
      <w:r>
        <w:rPr>
          <w:rFonts w:ascii="Times New Roman;serif" w:hAnsi="Times New Roman;serif"/>
          <w:b w:val="false"/>
          <w:color w:val="000000"/>
          <w:sz w:val="20"/>
        </w:rPr>
        <w:t>), and 50% of the Target PSUs will be earned based on the achievement of Free Cash Flow (“</w:t>
      </w:r>
      <w:r>
        <w:rPr>
          <w:rFonts w:ascii="Times New Roman;serif" w:hAnsi="Times New Roman;serif"/>
          <w:b w:val="false"/>
          <w:color w:val="000000"/>
          <w:sz w:val="20"/>
          <w:u w:val="single"/>
        </w:rPr>
        <w:t>FCF PSUs</w:t>
      </w:r>
      <w:r>
        <w:rPr>
          <w:color w:val="000000"/>
        </w:rPr>
        <w:t>”</w:t>
      </w:r>
      <w:r>
        <w:rPr>
          <w:rFonts w:ascii="Times New Roman;serif" w:hAnsi="Times New Roman;serif"/>
          <w:b w:val="false"/>
          <w:color w:val="000000"/>
          <w:sz w:val="20"/>
        </w:rPr>
        <w:t>).</w:t>
      </w:r>
    </w:p>
    <w:p>
      <w:pPr>
        <w:pStyle w:val="TextBody"/>
        <w:bidi w:val="0"/>
        <w:spacing w:lineRule="auto" w:line="288" w:before="240" w:after="240"/>
        <w:ind w:left="0" w:right="0" w:hanging="360"/>
        <w:jc w:val="both"/>
        <w:rPr/>
      </w:pPr>
      <w:r>
        <w:rPr>
          <w:rFonts w:ascii="Times New Roman;serif" w:hAnsi="Times New Roman;serif"/>
          <w:b w:val="false"/>
          <w:color w:val="000000"/>
          <w:sz w:val="22"/>
        </w:rPr>
        <w:t>4.</w:t>
      </w:r>
      <w:r>
        <w:rPr>
          <w:rFonts w:ascii="Times New Roman;serif" w:hAnsi="Times New Roman;serif"/>
          <w:b w:val="false"/>
          <w:color w:val="000000"/>
          <w:sz w:val="20"/>
          <w:u w:val="single"/>
        </w:rPr>
        <w:t>Definitions</w:t>
      </w:r>
      <w:r>
        <w:rPr>
          <w:rFonts w:ascii="Times New Roman;serif" w:hAnsi="Times New Roman;serif"/>
          <w:b w:val="false"/>
          <w:color w:val="000000"/>
          <w:sz w:val="20"/>
        </w:rPr>
        <w:t>. For purposes of this the Performance Memo:</w:t>
      </w:r>
    </w:p>
    <w:p>
      <w:pPr>
        <w:pStyle w:val="TextBody"/>
        <w:bidi w:val="0"/>
        <w:spacing w:lineRule="auto" w:line="288" w:before="0" w:after="240"/>
        <w:ind w:left="0" w:right="0" w:hanging="360"/>
        <w:jc w:val="both"/>
        <w:rPr/>
      </w:pPr>
      <w:r>
        <w:rPr>
          <w:rFonts w:ascii="Times New Roman;serif" w:hAnsi="Times New Roman;serif"/>
          <w:b w:val="false"/>
          <w:color w:val="000000"/>
          <w:sz w:val="22"/>
        </w:rPr>
        <w:t>(a)</w:t>
      </w:r>
      <w:r>
        <w:rPr>
          <w:color w:val="000000"/>
        </w:rPr>
        <w:t>“</w:t>
      </w:r>
      <w:r>
        <w:rPr>
          <w:rFonts w:ascii="Times New Roman;serif" w:hAnsi="Times New Roman;serif"/>
          <w:b w:val="false"/>
          <w:color w:val="000000"/>
          <w:sz w:val="20"/>
          <w:u w:val="single"/>
        </w:rPr>
        <w:t>Free Cash Flow</w:t>
      </w:r>
      <w:r>
        <w:rPr>
          <w:color w:val="000000"/>
        </w:rPr>
        <w:t xml:space="preserve">” </w:t>
      </w:r>
      <w:r>
        <w:rPr>
          <w:rFonts w:ascii="Times New Roman;serif" w:hAnsi="Times New Roman;serif"/>
          <w:b w:val="false"/>
          <w:color w:val="000000"/>
          <w:sz w:val="20"/>
        </w:rPr>
        <w:t>or “</w:t>
      </w:r>
      <w:r>
        <w:rPr>
          <w:rFonts w:ascii="Times New Roman;serif" w:hAnsi="Times New Roman;serif"/>
          <w:b w:val="false"/>
          <w:color w:val="000000"/>
          <w:sz w:val="20"/>
          <w:u w:val="single"/>
        </w:rPr>
        <w:t>FCF</w:t>
      </w:r>
      <w:r>
        <w:rPr>
          <w:color w:val="000000"/>
        </w:rPr>
        <w:t xml:space="preserve">” </w:t>
      </w:r>
      <w:r>
        <w:rPr>
          <w:rFonts w:ascii="Times New Roman;serif" w:hAnsi="Times New Roman;serif"/>
          <w:b w:val="false"/>
          <w:color w:val="000000"/>
          <w:sz w:val="20"/>
        </w:rPr>
        <w:t>means the Company’s cash provided by operating activities minus capital expenditures and excludes free cash flow derived from mergers and acquisitions activity and the tax effected impact of ethylene oxide (“</w:t>
      </w:r>
      <w:r>
        <w:rPr>
          <w:rFonts w:ascii="Times New Roman;serif" w:hAnsi="Times New Roman;serif"/>
          <w:b w:val="false"/>
          <w:color w:val="000000"/>
          <w:sz w:val="20"/>
          <w:u w:val="single"/>
        </w:rPr>
        <w:t>EO</w:t>
      </w:r>
      <w:r>
        <w:rPr>
          <w:color w:val="000000"/>
        </w:rPr>
        <w:t>”</w:t>
      </w:r>
      <w:r>
        <w:rPr>
          <w:rFonts w:ascii="Times New Roman;serif" w:hAnsi="Times New Roman;serif"/>
          <w:b w:val="false"/>
          <w:color w:val="000000"/>
          <w:sz w:val="20"/>
        </w:rPr>
        <w:t>) litigation settlements and professional services related to EO sterilization facilities, in each case measured from the first day of the Performance Period through the last day of the Performance Period. The Free Cash Flow for the Performance Period will be determined by the Committee in its sole discretion.</w:t>
      </w:r>
    </w:p>
    <w:p>
      <w:pPr>
        <w:pStyle w:val="TextBody"/>
        <w:bidi w:val="0"/>
        <w:spacing w:lineRule="auto" w:line="288" w:before="0" w:after="240"/>
        <w:ind w:left="0" w:right="0" w:hanging="360"/>
        <w:jc w:val="both"/>
        <w:rPr/>
      </w:pPr>
      <w:r>
        <w:rPr>
          <w:rFonts w:ascii="Times New Roman;serif" w:hAnsi="Times New Roman;serif"/>
          <w:b w:val="false"/>
          <w:color w:val="000000"/>
          <w:sz w:val="22"/>
        </w:rPr>
        <w:t>(b)</w:t>
      </w:r>
      <w:r>
        <w:rPr>
          <w:color w:val="000000"/>
        </w:rPr>
        <w:t>“</w:t>
      </w:r>
      <w:r>
        <w:rPr>
          <w:rFonts w:ascii="Times New Roman;serif" w:hAnsi="Times New Roman;serif"/>
          <w:b w:val="false"/>
          <w:color w:val="000000"/>
          <w:sz w:val="20"/>
          <w:u w:val="single"/>
        </w:rPr>
        <w:t>Revenue</w:t>
      </w:r>
      <w:r>
        <w:rPr>
          <w:color w:val="000000"/>
        </w:rPr>
        <w:t xml:space="preserve">” </w:t>
      </w:r>
      <w:r>
        <w:rPr>
          <w:rFonts w:ascii="Times New Roman;serif" w:hAnsi="Times New Roman;serif"/>
          <w:b w:val="false"/>
          <w:color w:val="000000"/>
          <w:sz w:val="20"/>
        </w:rPr>
        <w:t>means the Company’s cumulative annual revenue for each year of the Performance Period and excludes the impact of foreign currency exchange rates and revenue derived from mergers and acquisition activity, in each case plus or minus special items that may occur from time to time that the Committee believes should adjust the as-reported results for measurement of such Revenue performance. All determinations with respect to actual performance in relation to performance goals using Revenue as a metric will be made by the Committee in its sole discretion.</w:t>
      </w:r>
    </w:p>
    <w:p>
      <w:pPr>
        <w:pStyle w:val="TextBody"/>
        <w:bidi w:val="0"/>
        <w:spacing w:lineRule="auto" w:line="288" w:before="240" w:after="240"/>
        <w:ind w:left="0" w:right="0" w:hanging="360"/>
        <w:jc w:val="both"/>
        <w:rPr/>
      </w:pPr>
      <w:r>
        <w:rPr>
          <w:rFonts w:ascii="Times New Roman;serif" w:hAnsi="Times New Roman;serif"/>
          <w:b w:val="false"/>
          <w:color w:val="000000"/>
          <w:sz w:val="22"/>
        </w:rPr>
        <w:t>5.</w:t>
      </w:r>
      <w:r>
        <w:rPr>
          <w:rFonts w:ascii="Times New Roman;serif" w:hAnsi="Times New Roman;serif"/>
          <w:b w:val="false"/>
          <w:color w:val="000000"/>
          <w:sz w:val="20"/>
          <w:u w:val="single"/>
        </w:rPr>
        <w:t>Total Number of PSUs Earned</w:t>
      </w:r>
      <w:r>
        <w:rPr>
          <w:rFonts w:ascii="Times New Roman;serif" w:hAnsi="Times New Roman;serif"/>
          <w:b w:val="false"/>
          <w:color w:val="000000"/>
          <w:sz w:val="20"/>
        </w:rPr>
        <w:t>. The total number of PSUs earned for the Performance Period shall be equal to the sum of (a) the Revenue PSUs earned, as determined in accordance with Sections 6 and 7 of this the Performance Memo, and (b) the FCF PSUs earned, as determined in accordance with Sections 8 and 9 of this the Performance Memo.</w:t>
      </w:r>
    </w:p>
    <w:p>
      <w:pPr>
        <w:pStyle w:val="TextBody"/>
        <w:bidi w:val="0"/>
        <w:spacing w:before="0" w:after="0"/>
        <w:ind w:left="0" w:right="0" w:firstLine="720"/>
        <w:jc w:val="right"/>
        <w:rPr/>
      </w:pPr>
      <w:r>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6480175" cy="455295"/>
                <wp:effectExtent l="0" t="0" r="0" b="0"/>
                <wp:wrapNone/>
                <wp:docPr id="204" name="Frame202"/>
                <a:graphic xmlns:a="http://schemas.openxmlformats.org/drawingml/2006/main">
                  <a:graphicData uri="http://schemas.microsoft.com/office/word/2010/wordprocessingShape">
                    <wps:wsp>
                      <wps:cNvSpPr txBox="1"/>
                      <wps:spPr>
                        <a:xfrm>
                          <a:off x="0" y="0"/>
                          <a:ext cx="6480175" cy="455295"/>
                        </a:xfrm>
                        <a:prstGeom prst="rect"/>
                        <a:solidFill>
                          <a:srgbClr val="FFFFFF"/>
                        </a:solidFill>
                      </wps:spPr>
                      <wps:txbx>
                        <w:txbxContent>
                          <w:p>
                            <w:pPr>
                              <w:pStyle w:val="TextBody"/>
                              <w:bidi w:val="0"/>
                              <w:spacing w:lineRule="auto" w:line="292" w:before="0" w:after="16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p>
                            <w:pPr>
                              <w:pStyle w:val="TextBody"/>
                              <w:bidi w:val="0"/>
                              <w:spacing w:before="0" w:after="16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8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92" w:before="0" w:after="160"/>
                        <w:jc w:val="center"/>
                        <w:rPr>
                          <w:rFonts w:ascii="Times New Roman;serif" w:hAnsi="Times New Roman;serif"/>
                          <w:b w:val="false"/>
                          <w:color w:val="000000"/>
                          <w:sz w:val="20"/>
                        </w:rPr>
                      </w:pPr>
                      <w:r>
                        <w:rPr>
                          <w:rFonts w:ascii="Times New Roman;serif" w:hAnsi="Times New Roman;serif"/>
                          <w:b w:val="false"/>
                          <w:color w:val="000000"/>
                          <w:sz w:val="20"/>
                        </w:rPr>
                        <w:t>1</w:t>
                      </w:r>
                    </w:p>
                    <w:p>
                      <w:pPr>
                        <w:pStyle w:val="TextBody"/>
                        <w:bidi w:val="0"/>
                        <w:spacing w:before="0" w:after="160"/>
                        <w:jc w:val="both"/>
                        <w:rPr/>
                      </w:pPr>
                      <w:r>
                        <w:rPr/>
                      </w:r>
                    </w:p>
                  </w:txbxContent>
                </v:textbox>
                <w10:wrap type="none"/>
              </v:rect>
            </w:pict>
          </mc:Fallback>
        </mc:AlternateContent>
      </w:r>
    </w:p>
    <w:p>
      <w:pPr>
        <w:pStyle w:val="TextBody"/>
        <w:bidi w:val="0"/>
        <w:spacing w:lineRule="auto" w:line="288" w:before="240" w:after="240"/>
        <w:ind w:left="0" w:right="0" w:hanging="360"/>
        <w:jc w:val="both"/>
        <w:rPr/>
      </w:pPr>
      <w:r>
        <w:rPr>
          <w:rFonts w:ascii="Times New Roman;serif" w:hAnsi="Times New Roman;serif"/>
          <w:b w:val="false"/>
          <w:color w:val="000000"/>
          <w:sz w:val="22"/>
        </w:rPr>
        <w:t>6.</w:t>
      </w:r>
      <w:r>
        <w:rPr>
          <w:rFonts w:ascii="Times New Roman;serif" w:hAnsi="Times New Roman;serif"/>
          <w:b w:val="false"/>
          <w:color w:val="000000"/>
          <w:sz w:val="20"/>
          <w:u w:val="single"/>
        </w:rPr>
        <w:t>Revenue Performance Matrix</w:t>
      </w:r>
      <w:r>
        <w:rPr>
          <w:rFonts w:ascii="Times New Roman;serif" w:hAnsi="Times New Roman;serif"/>
          <w:b w:val="false"/>
          <w:color w:val="000000"/>
          <w:sz w:val="20"/>
        </w:rPr>
        <w:t>. From 0% to _____% of the Revenue PSUs will be earned based on achievement of the Revenue Performance Goal during the Performance Period as set forth in the following matrix (the “</w:t>
      </w:r>
      <w:r>
        <w:rPr>
          <w:rFonts w:ascii="Times New Roman;serif" w:hAnsi="Times New Roman;serif"/>
          <w:b w:val="false"/>
          <w:color w:val="000000"/>
          <w:sz w:val="20"/>
          <w:u w:val="single"/>
        </w:rPr>
        <w:t>Revenue Matrix</w:t>
      </w:r>
      <w:r>
        <w:rPr>
          <w:color w:val="000000"/>
        </w:rPr>
        <w:t>”</w:t>
      </w:r>
      <w:r>
        <w:rPr>
          <w:rFonts w:ascii="Times New Roman;serif" w:hAnsi="Times New Roman;serif"/>
          <w:b w:val="false"/>
          <w:color w:val="000000"/>
          <w:sz w:val="20"/>
        </w:rPr>
        <w:t>):</w:t>
      </w:r>
    </w:p>
    <w:tbl>
      <w:tblPr>
        <w:tblW w:w="6224" w:type="dxa"/>
        <w:jc w:val="left"/>
        <w:tblInd w:w="0" w:type="dxa"/>
        <w:tblLayout w:type="fixed"/>
        <w:tblCellMar>
          <w:top w:w="28" w:type="dxa"/>
          <w:left w:w="28" w:type="dxa"/>
          <w:bottom w:w="28" w:type="dxa"/>
          <w:right w:w="28" w:type="dxa"/>
        </w:tblCellMar>
      </w:tblPr>
      <w:tblGrid>
        <w:gridCol w:w="636"/>
        <w:gridCol w:w="559"/>
        <w:gridCol w:w="560"/>
        <w:gridCol w:w="814"/>
        <w:gridCol w:w="814"/>
        <w:gridCol w:w="816"/>
        <w:gridCol w:w="593"/>
        <w:gridCol w:w="593"/>
        <w:gridCol w:w="839"/>
      </w:tblGrid>
      <w:tr>
        <w:trPr/>
        <w:tc>
          <w:tcPr>
            <w:tcW w:w="636"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175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92" w:before="0" w:after="160"/>
              <w:jc w:val="center"/>
              <w:rPr>
                <w:rFonts w:ascii="Times New Roman;serif" w:hAnsi="Times New Roman;serif"/>
                <w:b/>
                <w:color w:val="000000"/>
                <w:sz w:val="20"/>
              </w:rPr>
            </w:pPr>
            <w:r>
              <w:rPr>
                <w:rFonts w:ascii="Times New Roman;serif" w:hAnsi="Times New Roman;serif"/>
                <w:b/>
                <w:color w:val="000000"/>
                <w:sz w:val="20"/>
              </w:rPr>
              <w:t>Performance Level</w:t>
            </w:r>
          </w:p>
        </w:tc>
        <w:tc>
          <w:tcPr>
            <w:tcW w:w="244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92" w:before="0" w:after="160"/>
              <w:jc w:val="center"/>
              <w:rPr>
                <w:rFonts w:ascii="Times New Roman;serif" w:hAnsi="Times New Roman;serif"/>
                <w:b/>
                <w:color w:val="000000"/>
                <w:sz w:val="20"/>
              </w:rPr>
            </w:pPr>
            <w:r>
              <w:rPr>
                <w:rFonts w:ascii="Times New Roman;serif" w:hAnsi="Times New Roman;serif"/>
                <w:b/>
                <w:color w:val="000000"/>
                <w:sz w:val="20"/>
              </w:rPr>
              <w:t>Revenue Performance Goal</w:t>
            </w:r>
          </w:p>
        </w:tc>
        <w:tc>
          <w:tcPr>
            <w:tcW w:w="202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92" w:before="0" w:after="160"/>
              <w:jc w:val="center"/>
              <w:rPr>
                <w:rFonts w:ascii="Times New Roman;serif" w:hAnsi="Times New Roman;serif"/>
                <w:b/>
                <w:color w:val="000000"/>
                <w:sz w:val="20"/>
              </w:rPr>
            </w:pPr>
            <w:r>
              <w:rPr>
                <w:rFonts w:ascii="Times New Roman;serif" w:hAnsi="Times New Roman;serif"/>
                <w:b/>
                <w:color w:val="000000"/>
                <w:sz w:val="20"/>
              </w:rPr>
              <w:t>Revenue PSUs Earned</w:t>
            </w:r>
          </w:p>
        </w:tc>
      </w:tr>
      <w:tr>
        <w:trPr/>
        <w:tc>
          <w:tcPr>
            <w:tcW w:w="175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92" w:before="0" w:after="160"/>
              <w:jc w:val="center"/>
              <w:rPr>
                <w:rFonts w:ascii="Times New Roman;serif" w:hAnsi="Times New Roman;serif"/>
                <w:b w:val="false"/>
                <w:color w:val="000000"/>
                <w:sz w:val="20"/>
              </w:rPr>
            </w:pPr>
            <w:r>
              <w:rPr>
                <w:rFonts w:ascii="Times New Roman;serif" w:hAnsi="Times New Roman;serif"/>
                <w:b w:val="false"/>
                <w:color w:val="000000"/>
                <w:sz w:val="20"/>
              </w:rPr>
              <w:t>Threshold</w:t>
            </w:r>
          </w:p>
        </w:tc>
        <w:tc>
          <w:tcPr>
            <w:tcW w:w="2444"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160"/>
              <w:jc w:val="center"/>
              <w:rPr/>
            </w:pPr>
            <w:r>
              <w:rPr/>
            </w:r>
          </w:p>
        </w:tc>
        <w:tc>
          <w:tcPr>
            <w:tcW w:w="2025"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160"/>
              <w:jc w:val="center"/>
              <w:rPr/>
            </w:pPr>
            <w:r>
              <w:rPr/>
            </w:r>
          </w:p>
        </w:tc>
      </w:tr>
      <w:tr>
        <w:trPr/>
        <w:tc>
          <w:tcPr>
            <w:tcW w:w="175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92" w:before="0" w:after="160"/>
              <w:jc w:val="center"/>
              <w:rPr>
                <w:rFonts w:ascii="Times New Roman;serif" w:hAnsi="Times New Roman;serif"/>
                <w:b w:val="false"/>
                <w:color w:val="000000"/>
                <w:sz w:val="20"/>
              </w:rPr>
            </w:pPr>
            <w:r>
              <w:rPr>
                <w:rFonts w:ascii="Times New Roman;serif" w:hAnsi="Times New Roman;serif"/>
                <w:b w:val="false"/>
                <w:color w:val="000000"/>
                <w:sz w:val="20"/>
              </w:rPr>
              <w:t>Target</w:t>
            </w:r>
          </w:p>
        </w:tc>
        <w:tc>
          <w:tcPr>
            <w:tcW w:w="2444"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160"/>
              <w:jc w:val="center"/>
              <w:rPr/>
            </w:pPr>
            <w:r>
              <w:rPr/>
            </w:r>
          </w:p>
        </w:tc>
        <w:tc>
          <w:tcPr>
            <w:tcW w:w="2025"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160"/>
              <w:jc w:val="center"/>
              <w:rPr/>
            </w:pPr>
            <w:r>
              <w:rPr/>
            </w:r>
          </w:p>
        </w:tc>
      </w:tr>
      <w:tr>
        <w:trPr/>
        <w:tc>
          <w:tcPr>
            <w:tcW w:w="1755"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92" w:before="0" w:after="160"/>
              <w:jc w:val="center"/>
              <w:rPr>
                <w:rFonts w:ascii="Times New Roman;serif" w:hAnsi="Times New Roman;serif"/>
                <w:b w:val="false"/>
                <w:color w:val="000000"/>
                <w:sz w:val="20"/>
              </w:rPr>
            </w:pPr>
            <w:r>
              <w:rPr>
                <w:rFonts w:ascii="Times New Roman;serif" w:hAnsi="Times New Roman;serif"/>
                <w:b w:val="false"/>
                <w:color w:val="000000"/>
                <w:sz w:val="20"/>
              </w:rPr>
              <w:t>Maximum</w:t>
            </w:r>
          </w:p>
        </w:tc>
        <w:tc>
          <w:tcPr>
            <w:tcW w:w="2444"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160"/>
              <w:jc w:val="center"/>
              <w:rPr/>
            </w:pPr>
            <w:r>
              <w:rPr/>
            </w:r>
          </w:p>
        </w:tc>
        <w:tc>
          <w:tcPr>
            <w:tcW w:w="2025"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160"/>
              <w:jc w:val="center"/>
              <w:rPr/>
            </w:pPr>
            <w:r>
              <w:rPr/>
            </w:r>
          </w:p>
        </w:tc>
      </w:tr>
    </w:tbl>
    <w:p>
      <w:pPr>
        <w:pStyle w:val="TextBody"/>
        <w:bidi w:val="0"/>
        <w:spacing w:lineRule="auto" w:line="288" w:before="240" w:after="240"/>
        <w:ind w:left="0" w:right="0" w:hanging="360"/>
        <w:jc w:val="both"/>
        <w:rPr/>
      </w:pPr>
      <w:r>
        <w:rPr>
          <w:rFonts w:ascii="Times New Roman;serif" w:hAnsi="Times New Roman;serif"/>
          <w:b w:val="false"/>
          <w:color w:val="000000"/>
          <w:sz w:val="22"/>
        </w:rPr>
        <w:t>7.</w:t>
      </w:r>
      <w:r>
        <w:rPr>
          <w:rFonts w:ascii="Times New Roman;serif" w:hAnsi="Times New Roman;serif"/>
          <w:b w:val="false"/>
          <w:color w:val="000000"/>
          <w:sz w:val="20"/>
          <w:u w:val="single"/>
        </w:rPr>
        <w:t>Number of Revenue PSUs Earned</w:t>
      </w:r>
      <w:r>
        <w:rPr>
          <w:rFonts w:ascii="Times New Roman;serif" w:hAnsi="Times New Roman;serif"/>
          <w:b w:val="false"/>
          <w:color w:val="000000"/>
          <w:sz w:val="20"/>
        </w:rPr>
        <w:t>. Following the Performance Period, the Committee shall determine whether and to what extent the Revenue Performance Goal has been satisfied for the Performance Period and shall determine the percentage of the Revenue PSUs that shall become earned hereunder and under the Grant Notice and PSU Agreement on the basis of the following:</w:t>
      </w:r>
    </w:p>
    <w:p>
      <w:pPr>
        <w:pStyle w:val="TextBody"/>
        <w:bidi w:val="0"/>
        <w:spacing w:lineRule="auto" w:line="288" w:before="0" w:after="240"/>
        <w:ind w:left="0" w:right="0" w:hanging="360"/>
        <w:jc w:val="both"/>
        <w:rPr/>
      </w:pPr>
      <w:r>
        <w:rPr>
          <w:rFonts w:ascii="Times New Roman;serif" w:hAnsi="Times New Roman;serif"/>
          <w:b w:val="false"/>
          <w:color w:val="000000"/>
          <w:sz w:val="22"/>
        </w:rPr>
        <w:t>(a)</w:t>
      </w:r>
      <w:r>
        <w:rPr>
          <w:rFonts w:ascii="Times New Roman;serif" w:hAnsi="Times New Roman;serif"/>
          <w:b w:val="false"/>
          <w:color w:val="000000"/>
          <w:sz w:val="20"/>
          <w:u w:val="single"/>
        </w:rPr>
        <w:t>Below Threshold</w:t>
      </w:r>
      <w:r>
        <w:rPr>
          <w:rFonts w:ascii="Times New Roman;serif" w:hAnsi="Times New Roman;serif"/>
          <w:b w:val="false"/>
          <w:color w:val="000000"/>
          <w:sz w:val="20"/>
        </w:rPr>
        <w:t>. If, upon the conclusion of the Performance Period, Revenue for the Performance Period is less than the lowest Revenue performance level set forth in the Revenue Matrix (i.e., less than the Threshold level), _____ Revenue PSUs shall be earned.</w:t>
      </w:r>
    </w:p>
    <w:p>
      <w:pPr>
        <w:pStyle w:val="TextBody"/>
        <w:bidi w:val="0"/>
        <w:spacing w:lineRule="auto" w:line="288" w:before="0" w:after="240"/>
        <w:ind w:left="0" w:right="0" w:hanging="360"/>
        <w:jc w:val="both"/>
        <w:rPr/>
      </w:pPr>
      <w:r>
        <w:rPr>
          <w:rFonts w:ascii="Times New Roman;serif" w:hAnsi="Times New Roman;serif"/>
          <w:b w:val="false"/>
          <w:color w:val="000000"/>
          <w:sz w:val="22"/>
        </w:rPr>
        <w:t>(b)</w:t>
      </w:r>
      <w:r>
        <w:rPr>
          <w:rFonts w:ascii="Times New Roman;serif" w:hAnsi="Times New Roman;serif"/>
          <w:b w:val="false"/>
          <w:color w:val="000000"/>
          <w:sz w:val="20"/>
          <w:u w:val="single"/>
        </w:rPr>
        <w:t>Threshold or Above</w:t>
      </w:r>
      <w:r>
        <w:rPr>
          <w:rFonts w:ascii="Times New Roman;serif" w:hAnsi="Times New Roman;serif"/>
          <w:b w:val="false"/>
          <w:color w:val="000000"/>
          <w:sz w:val="20"/>
        </w:rPr>
        <w:t xml:space="preserve">. If, upon the conclusion of the Performance Period, Revenue for the Performance Period is exactly equal to one of the Performance Goal levels set forth in the Revenue Matrix, the percentage of Revenue PSUs earned shall be equal to the percentage set forth opposite such Performance Goal level in the Revenue Matrix. If, upon the conclusion of the Performance Period, Revenue for the Performance Period falls between two Performance Goal levels set forth in the Revenue Matrix, the percentage of Revenue PSUs earned shall be based on straight-line mathematical interpolation between the percentages set forth opposite such Performance Goal levels (not to exceed _____%). </w:t>
      </w:r>
    </w:p>
    <w:p>
      <w:pPr>
        <w:pStyle w:val="TextBody"/>
        <w:bidi w:val="0"/>
        <w:spacing w:lineRule="auto" w:line="288" w:before="240" w:after="240"/>
        <w:ind w:left="0" w:right="0" w:hanging="360"/>
        <w:jc w:val="both"/>
        <w:rPr/>
      </w:pPr>
      <w:r>
        <w:rPr>
          <w:rFonts w:ascii="Times New Roman;serif" w:hAnsi="Times New Roman;serif"/>
          <w:b w:val="false"/>
          <w:color w:val="000000"/>
          <w:sz w:val="22"/>
        </w:rPr>
        <w:t>8.</w:t>
      </w:r>
      <w:r>
        <w:rPr>
          <w:rFonts w:ascii="Times New Roman;serif" w:hAnsi="Times New Roman;serif"/>
          <w:b w:val="false"/>
          <w:color w:val="000000"/>
          <w:sz w:val="20"/>
          <w:u w:val="single"/>
        </w:rPr>
        <w:t>Free Cash Flow Performance Matrix</w:t>
      </w:r>
      <w:r>
        <w:rPr>
          <w:rFonts w:ascii="Times New Roman;serif" w:hAnsi="Times New Roman;serif"/>
          <w:b w:val="false"/>
          <w:color w:val="000000"/>
          <w:sz w:val="20"/>
        </w:rPr>
        <w:t>. From 0% to _____% of the FCF PSUs will be earned based on achievement of the Free Cash Flow Performance Goal during the Performance Period as set forth in the following matrix (the “</w:t>
      </w:r>
      <w:r>
        <w:rPr>
          <w:rFonts w:ascii="Times New Roman;serif" w:hAnsi="Times New Roman;serif"/>
          <w:b w:val="false"/>
          <w:color w:val="000000"/>
          <w:sz w:val="20"/>
          <w:u w:val="single"/>
        </w:rPr>
        <w:t>FCF Matrix</w:t>
      </w:r>
      <w:r>
        <w:rPr>
          <w:color w:val="000000"/>
        </w:rPr>
        <w:t>”</w:t>
      </w:r>
      <w:r>
        <w:rPr>
          <w:rFonts w:ascii="Times New Roman;serif" w:hAnsi="Times New Roman;serif"/>
          <w:b w:val="false"/>
          <w:color w:val="000000"/>
          <w:sz w:val="20"/>
        </w:rPr>
        <w:t>):</w:t>
      </w:r>
    </w:p>
    <w:tbl>
      <w:tblPr>
        <w:tblW w:w="5113" w:type="dxa"/>
        <w:jc w:val="left"/>
        <w:tblInd w:w="0" w:type="dxa"/>
        <w:tblLayout w:type="fixed"/>
        <w:tblCellMar>
          <w:top w:w="28" w:type="dxa"/>
          <w:left w:w="28" w:type="dxa"/>
          <w:bottom w:w="28" w:type="dxa"/>
          <w:right w:w="28" w:type="dxa"/>
        </w:tblCellMar>
      </w:tblPr>
      <w:tblGrid>
        <w:gridCol w:w="636"/>
        <w:gridCol w:w="559"/>
        <w:gridCol w:w="560"/>
        <w:gridCol w:w="559"/>
        <w:gridCol w:w="559"/>
        <w:gridCol w:w="561"/>
        <w:gridCol w:w="490"/>
        <w:gridCol w:w="490"/>
        <w:gridCol w:w="699"/>
      </w:tblGrid>
      <w:tr>
        <w:trPr/>
        <w:tc>
          <w:tcPr>
            <w:tcW w:w="636"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r>
      <w:tr>
        <w:trPr/>
        <w:tc>
          <w:tcPr>
            <w:tcW w:w="175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92" w:before="0" w:after="160"/>
              <w:jc w:val="center"/>
              <w:rPr>
                <w:rFonts w:ascii="Times New Roman;serif" w:hAnsi="Times New Roman;serif"/>
                <w:b/>
                <w:color w:val="000000"/>
                <w:sz w:val="20"/>
              </w:rPr>
            </w:pPr>
            <w:r>
              <w:rPr>
                <w:rFonts w:ascii="Times New Roman;serif" w:hAnsi="Times New Roman;serif"/>
                <w:b/>
                <w:color w:val="000000"/>
                <w:sz w:val="20"/>
              </w:rPr>
              <w:t>Performance Level</w:t>
            </w:r>
          </w:p>
        </w:tc>
        <w:tc>
          <w:tcPr>
            <w:tcW w:w="167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92" w:before="0" w:after="0"/>
              <w:jc w:val="center"/>
              <w:rPr>
                <w:rFonts w:ascii="Times New Roman;serif" w:hAnsi="Times New Roman;serif"/>
                <w:b/>
                <w:color w:val="000000"/>
                <w:sz w:val="20"/>
              </w:rPr>
            </w:pPr>
            <w:r>
              <w:rPr>
                <w:rFonts w:ascii="Times New Roman;serif" w:hAnsi="Times New Roman;serif"/>
                <w:b/>
                <w:color w:val="000000"/>
                <w:sz w:val="20"/>
              </w:rPr>
              <w:t>FCF</w:t>
            </w:r>
          </w:p>
          <w:p>
            <w:pPr>
              <w:pStyle w:val="TableContents"/>
              <w:bidi w:val="0"/>
              <w:spacing w:lineRule="auto" w:line="292" w:before="0" w:after="0"/>
              <w:jc w:val="center"/>
              <w:rPr>
                <w:rFonts w:ascii="Times New Roman;serif" w:hAnsi="Times New Roman;serif"/>
                <w:b/>
                <w:color w:val="000000"/>
                <w:sz w:val="20"/>
              </w:rPr>
            </w:pPr>
            <w:r>
              <w:rPr>
                <w:rFonts w:ascii="Times New Roman;serif" w:hAnsi="Times New Roman;serif"/>
                <w:b/>
                <w:color w:val="000000"/>
                <w:sz w:val="20"/>
              </w:rPr>
              <w:t>Performance Goal</w:t>
            </w:r>
          </w:p>
        </w:tc>
        <w:tc>
          <w:tcPr>
            <w:tcW w:w="167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92" w:before="0" w:after="160"/>
              <w:jc w:val="center"/>
              <w:rPr>
                <w:rFonts w:ascii="Times New Roman;serif" w:hAnsi="Times New Roman;serif"/>
                <w:b/>
                <w:color w:val="000000"/>
                <w:sz w:val="20"/>
              </w:rPr>
            </w:pPr>
            <w:r>
              <w:rPr>
                <w:rFonts w:ascii="Times New Roman;serif" w:hAnsi="Times New Roman;serif"/>
                <w:b/>
                <w:color w:val="000000"/>
                <w:sz w:val="20"/>
              </w:rPr>
              <w:t>FCF PSUs Earned</w:t>
            </w:r>
          </w:p>
        </w:tc>
      </w:tr>
      <w:tr>
        <w:trPr/>
        <w:tc>
          <w:tcPr>
            <w:tcW w:w="175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92" w:before="0" w:after="160"/>
              <w:jc w:val="center"/>
              <w:rPr>
                <w:rFonts w:ascii="Times New Roman;serif" w:hAnsi="Times New Roman;serif"/>
                <w:b w:val="false"/>
                <w:color w:val="000000"/>
                <w:sz w:val="20"/>
              </w:rPr>
            </w:pPr>
            <w:r>
              <w:rPr>
                <w:rFonts w:ascii="Times New Roman;serif" w:hAnsi="Times New Roman;serif"/>
                <w:b w:val="false"/>
                <w:color w:val="000000"/>
                <w:sz w:val="20"/>
              </w:rPr>
              <w:t>Threshold</w:t>
            </w:r>
          </w:p>
        </w:tc>
        <w:tc>
          <w:tcPr>
            <w:tcW w:w="1679"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160"/>
              <w:jc w:val="center"/>
              <w:rPr/>
            </w:pPr>
            <w:r>
              <w:rPr/>
            </w:r>
          </w:p>
        </w:tc>
        <w:tc>
          <w:tcPr>
            <w:tcW w:w="1679"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160"/>
              <w:jc w:val="center"/>
              <w:rPr/>
            </w:pPr>
            <w:r>
              <w:rPr/>
            </w:r>
          </w:p>
        </w:tc>
      </w:tr>
      <w:tr>
        <w:trPr/>
        <w:tc>
          <w:tcPr>
            <w:tcW w:w="175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92" w:before="0" w:after="160"/>
              <w:jc w:val="center"/>
              <w:rPr>
                <w:rFonts w:ascii="Times New Roman;serif" w:hAnsi="Times New Roman;serif"/>
                <w:b w:val="false"/>
                <w:color w:val="000000"/>
                <w:sz w:val="20"/>
              </w:rPr>
            </w:pPr>
            <w:r>
              <w:rPr>
                <w:rFonts w:ascii="Times New Roman;serif" w:hAnsi="Times New Roman;serif"/>
                <w:b w:val="false"/>
                <w:color w:val="000000"/>
                <w:sz w:val="20"/>
              </w:rPr>
              <w:t>Target</w:t>
            </w:r>
          </w:p>
        </w:tc>
        <w:tc>
          <w:tcPr>
            <w:tcW w:w="1679"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160"/>
              <w:jc w:val="center"/>
              <w:rPr/>
            </w:pPr>
            <w:r>
              <w:rPr/>
            </w:r>
          </w:p>
        </w:tc>
        <w:tc>
          <w:tcPr>
            <w:tcW w:w="1679"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160"/>
              <w:jc w:val="center"/>
              <w:rPr/>
            </w:pPr>
            <w:r>
              <w:rPr/>
            </w:r>
          </w:p>
        </w:tc>
      </w:tr>
      <w:tr>
        <w:trPr/>
        <w:tc>
          <w:tcPr>
            <w:tcW w:w="1755"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92" w:before="0" w:after="160"/>
              <w:jc w:val="center"/>
              <w:rPr>
                <w:rFonts w:ascii="Times New Roman;serif" w:hAnsi="Times New Roman;serif"/>
                <w:b w:val="false"/>
                <w:color w:val="000000"/>
                <w:sz w:val="20"/>
              </w:rPr>
            </w:pPr>
            <w:r>
              <w:rPr>
                <w:rFonts w:ascii="Times New Roman;serif" w:hAnsi="Times New Roman;serif"/>
                <w:b w:val="false"/>
                <w:color w:val="000000"/>
                <w:sz w:val="20"/>
              </w:rPr>
              <w:t>Maximum</w:t>
            </w:r>
          </w:p>
        </w:tc>
        <w:tc>
          <w:tcPr>
            <w:tcW w:w="1679"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160"/>
              <w:jc w:val="center"/>
              <w:rPr/>
            </w:pPr>
            <w:r>
              <w:rPr/>
            </w:r>
          </w:p>
        </w:tc>
        <w:tc>
          <w:tcPr>
            <w:tcW w:w="1679"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160"/>
              <w:jc w:val="center"/>
              <w:rPr/>
            </w:pPr>
            <w:r>
              <w:rPr/>
            </w:r>
          </w:p>
        </w:tc>
      </w:tr>
    </w:tbl>
    <w:p>
      <w:pPr>
        <w:pStyle w:val="TextBody"/>
        <w:bidi w:val="0"/>
        <w:spacing w:lineRule="auto" w:line="288" w:before="240" w:after="240"/>
        <w:ind w:left="0" w:right="0" w:hanging="360"/>
        <w:jc w:val="both"/>
        <w:rPr/>
      </w:pPr>
      <w:r>
        <w:rPr>
          <w:rFonts w:ascii="Times New Roman;serif" w:hAnsi="Times New Roman;serif"/>
          <w:b w:val="false"/>
          <w:color w:val="000000"/>
          <w:sz w:val="22"/>
        </w:rPr>
        <w:t>9.</w:t>
      </w:r>
      <w:r>
        <w:rPr>
          <w:rFonts w:ascii="Times New Roman;serif" w:hAnsi="Times New Roman;serif"/>
          <w:b w:val="false"/>
          <w:color w:val="000000"/>
          <w:sz w:val="20"/>
          <w:u w:val="single"/>
        </w:rPr>
        <w:t>Number of FCF PSUs Earned</w:t>
      </w:r>
      <w:r>
        <w:rPr>
          <w:rFonts w:ascii="Times New Roman;serif" w:hAnsi="Times New Roman;serif"/>
          <w:b w:val="false"/>
          <w:color w:val="000000"/>
          <w:sz w:val="20"/>
        </w:rPr>
        <w:t>. Following the Performance Period, the Committee shall determine whether and to what extent the FCF Performance Goal has been satisfied for the Performance Period and shall determine the percentage of the FCF PSUs that shall become earned hereunder and under the Grant Notice and PSU Agreement on the basis of the following:</w:t>
      </w:r>
    </w:p>
    <w:p>
      <w:pPr>
        <w:pStyle w:val="TextBody"/>
        <w:bidi w:val="0"/>
        <w:spacing w:before="0" w:after="0"/>
        <w:ind w:left="0" w:right="0" w:firstLine="720"/>
        <w:jc w:val="right"/>
        <w:rPr/>
      </w:pPr>
      <w:r>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6480175" cy="455295"/>
                <wp:effectExtent l="0" t="0" r="0" b="0"/>
                <wp:wrapNone/>
                <wp:docPr id="205" name="Frame203"/>
                <a:graphic xmlns:a="http://schemas.openxmlformats.org/drawingml/2006/main">
                  <a:graphicData uri="http://schemas.microsoft.com/office/word/2010/wordprocessingShape">
                    <wps:wsp>
                      <wps:cNvSpPr txBox="1"/>
                      <wps:spPr>
                        <a:xfrm>
                          <a:off x="0" y="0"/>
                          <a:ext cx="6480175" cy="455295"/>
                        </a:xfrm>
                        <a:prstGeom prst="rect"/>
                        <a:solidFill>
                          <a:srgbClr val="FFFFFF"/>
                        </a:solidFill>
                      </wps:spPr>
                      <wps:txbx>
                        <w:txbxContent>
                          <w:p>
                            <w:pPr>
                              <w:pStyle w:val="TextBody"/>
                              <w:bidi w:val="0"/>
                              <w:spacing w:lineRule="auto" w:line="292" w:before="0" w:after="16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p>
                            <w:pPr>
                              <w:pStyle w:val="TextBody"/>
                              <w:bidi w:val="0"/>
                              <w:spacing w:before="0" w:after="16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8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92" w:before="0" w:after="160"/>
                        <w:jc w:val="center"/>
                        <w:rPr>
                          <w:rFonts w:ascii="Times New Roman;serif" w:hAnsi="Times New Roman;serif"/>
                          <w:b w:val="false"/>
                          <w:color w:val="000000"/>
                          <w:sz w:val="20"/>
                        </w:rPr>
                      </w:pPr>
                      <w:r>
                        <w:rPr>
                          <w:rFonts w:ascii="Times New Roman;serif" w:hAnsi="Times New Roman;serif"/>
                          <w:b w:val="false"/>
                          <w:color w:val="000000"/>
                          <w:sz w:val="20"/>
                        </w:rPr>
                        <w:t>2</w:t>
                      </w:r>
                    </w:p>
                    <w:p>
                      <w:pPr>
                        <w:pStyle w:val="TextBody"/>
                        <w:bidi w:val="0"/>
                        <w:spacing w:before="0" w:after="160"/>
                        <w:jc w:val="both"/>
                        <w:rPr/>
                      </w:pPr>
                      <w:r>
                        <w:rPr/>
                      </w:r>
                    </w:p>
                  </w:txbxContent>
                </v:textbox>
                <w10:wrap type="none"/>
              </v:rect>
            </w:pict>
          </mc:Fallback>
        </mc:AlternateContent>
      </w:r>
    </w:p>
    <w:p>
      <w:pPr>
        <w:pStyle w:val="TextBody"/>
        <w:bidi w:val="0"/>
        <w:spacing w:lineRule="auto" w:line="288" w:before="0" w:after="240"/>
        <w:ind w:left="0" w:right="0" w:hanging="360"/>
        <w:jc w:val="both"/>
        <w:rPr/>
      </w:pPr>
      <w:r>
        <w:rPr>
          <w:rFonts w:ascii="Times New Roman;serif" w:hAnsi="Times New Roman;serif"/>
          <w:b w:val="false"/>
          <w:color w:val="000000"/>
          <w:sz w:val="22"/>
        </w:rPr>
        <w:t>(a)</w:t>
      </w:r>
      <w:r>
        <w:rPr>
          <w:rFonts w:ascii="Times New Roman;serif" w:hAnsi="Times New Roman;serif"/>
          <w:b w:val="false"/>
          <w:color w:val="000000"/>
          <w:sz w:val="20"/>
          <w:u w:val="single"/>
        </w:rPr>
        <w:t>Below Threshold</w:t>
      </w:r>
      <w:r>
        <w:rPr>
          <w:rFonts w:ascii="Times New Roman;serif" w:hAnsi="Times New Roman;serif"/>
          <w:b w:val="false"/>
          <w:color w:val="000000"/>
          <w:sz w:val="20"/>
        </w:rPr>
        <w:t>. If, upon the conclusion of the Performance Period, FCF for the Performance Period is less than the lowest FCF level set forth in the FCF Matrix (i.e. is less than the Threshold level), _____ FCF PSUs will be earned.</w:t>
      </w:r>
    </w:p>
    <w:p>
      <w:pPr>
        <w:pStyle w:val="TextBody"/>
        <w:bidi w:val="0"/>
        <w:spacing w:lineRule="auto" w:line="288" w:before="0" w:after="240"/>
        <w:ind w:left="0" w:right="0" w:hanging="360"/>
        <w:jc w:val="both"/>
        <w:rPr/>
      </w:pPr>
      <w:r>
        <w:rPr>
          <w:rFonts w:ascii="Times New Roman;serif" w:hAnsi="Times New Roman;serif"/>
          <w:b w:val="false"/>
          <w:color w:val="000000"/>
          <w:sz w:val="22"/>
        </w:rPr>
        <w:t>(b)</w:t>
      </w:r>
      <w:r>
        <w:rPr>
          <w:rFonts w:ascii="Times New Roman;serif" w:hAnsi="Times New Roman;serif"/>
          <w:b w:val="false"/>
          <w:color w:val="000000"/>
          <w:sz w:val="20"/>
          <w:u w:val="single"/>
        </w:rPr>
        <w:t>Threshold or Above</w:t>
      </w:r>
      <w:r>
        <w:rPr>
          <w:rFonts w:ascii="Times New Roman;serif" w:hAnsi="Times New Roman;serif"/>
          <w:b w:val="false"/>
          <w:color w:val="000000"/>
          <w:sz w:val="20"/>
        </w:rPr>
        <w:t>. If, upon the conclusion of the Performance Period, FCF for the Performance Period is exactly equal to one of the Performance Goal levels set forth in the FCF Matrix, the percentage of FCF PSUs earned shall be equal to the percentage set forth opposite such Performance Goal level in the FCF Matrix. If, upon the conclusion of the Performance Period, FCF for the Performance Period falls between two Performance Goal levels set forth in the FCF Matrix, the percentage of FCF PSUs earned shall be based on straight-line mathematical interpolation between the percentages set forth opposite such Performance Goal levels (not to exceed _____%).</w:t>
      </w:r>
    </w:p>
    <w:p>
      <w:pPr>
        <w:pStyle w:val="TextBody"/>
        <w:bidi w:val="0"/>
        <w:spacing w:before="0" w:after="240"/>
        <w:ind w:left="0" w:right="0" w:firstLine="72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10.48</w:t>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6480175" cy="455295"/>
                <wp:effectExtent l="0" t="0" r="0" b="0"/>
                <wp:wrapNone/>
                <wp:docPr id="206" name="Frame204"/>
                <a:graphic xmlns:a="http://schemas.openxmlformats.org/drawingml/2006/main">
                  <a:graphicData uri="http://schemas.microsoft.com/office/word/2010/wordprocessingShape">
                    <wps:wsp>
                      <wps:cNvSpPr txBox="1"/>
                      <wps:spPr>
                        <a:xfrm>
                          <a:off x="0" y="0"/>
                          <a:ext cx="6480175" cy="455295"/>
                        </a:xfrm>
                        <a:prstGeom prst="rect"/>
                        <a:solidFill>
                          <a:srgbClr val="FFFFFF"/>
                        </a:solidFill>
                      </wps:spPr>
                      <wps:txbx>
                        <w:txbxContent>
                          <w:p>
                            <w:pPr>
                              <w:pStyle w:val="TextBody"/>
                              <w:bidi w:val="0"/>
                              <w:spacing w:lineRule="auto" w:line="292" w:before="0" w:after="160"/>
                              <w:jc w:val="center"/>
                              <w:rPr>
                                <w:rFonts w:ascii="Times New Roman;serif" w:hAnsi="Times New Roman;serif"/>
                                <w:b w:val="false"/>
                                <w:color w:val="000000"/>
                                <w:sz w:val="20"/>
                              </w:rPr>
                            </w:pPr>
                            <w:r>
                              <w:rPr>
                                <w:rFonts w:ascii="Times New Roman;serif" w:hAnsi="Times New Roman;serif"/>
                                <w:b w:val="false"/>
                                <w:color w:val="000000"/>
                                <w:sz w:val="20"/>
                              </w:rPr>
                              <w:t>3</w:t>
                            </w:r>
                          </w:p>
                          <w:p>
                            <w:pPr>
                              <w:pStyle w:val="TextBody"/>
                              <w:bidi w:val="0"/>
                              <w:spacing w:before="0" w:after="16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85pt;mso-wrap-distance-left:0pt;mso-wrap-distance-right:0pt;mso-wrap-distance-top:0pt;mso-wrap-distance-bottom:0pt;margin-top:0pt;mso-position-vertical:top;mso-position-vertical-relative:text;margin-left:-414.2pt;mso-position-horizontal:left;mso-position-horizontal-relative:text">
                <v:textbox>
                  <w:txbxContent>
                    <w:p>
                      <w:pPr>
                        <w:pStyle w:val="TextBody"/>
                        <w:bidi w:val="0"/>
                        <w:spacing w:lineRule="auto" w:line="292" w:before="0" w:after="160"/>
                        <w:jc w:val="center"/>
                        <w:rPr>
                          <w:rFonts w:ascii="Times New Roman;serif" w:hAnsi="Times New Roman;serif"/>
                          <w:b w:val="false"/>
                          <w:color w:val="000000"/>
                          <w:sz w:val="20"/>
                        </w:rPr>
                      </w:pPr>
                      <w:r>
                        <w:rPr>
                          <w:rFonts w:ascii="Times New Roman;serif" w:hAnsi="Times New Roman;serif"/>
                          <w:b w:val="false"/>
                          <w:color w:val="000000"/>
                          <w:sz w:val="20"/>
                        </w:rPr>
                        <w:t>3</w:t>
                      </w:r>
                    </w:p>
                    <w:p>
                      <w:pPr>
                        <w:pStyle w:val="TextBody"/>
                        <w:bidi w:val="0"/>
                        <w:spacing w:before="0" w:after="160"/>
                        <w:jc w:val="both"/>
                        <w:rPr/>
                      </w:pPr>
                      <w:r>
                        <w:rPr/>
                      </w:r>
                    </w:p>
                  </w:txbxContent>
                </v:textbox>
                <w10:wrap type="none"/>
              </v:rect>
            </w:pict>
          </mc:Fallback>
        </mc:AlternateContent>
      </w:r>
    </w:p>
    <w:p>
      <w:pPr>
        <w:pStyle w:val="TextBody"/>
        <w:bidi w:val="0"/>
        <w:spacing w:lineRule="auto" w:line="288" w:before="79" w:after="283"/>
        <w:jc w:val="center"/>
        <w:rPr>
          <w:rFonts w:ascii="Times New Roman;serif" w:hAnsi="Times New Roman;serif"/>
          <w:b/>
          <w:color w:val="000000"/>
          <w:sz w:val="20"/>
          <w:u w:val="single"/>
        </w:rPr>
      </w:pPr>
      <w:r>
        <w:rPr>
          <w:rFonts w:ascii="Times New Roman;serif" w:hAnsi="Times New Roman;serif"/>
          <w:b/>
          <w:color w:val="000000"/>
          <w:sz w:val="20"/>
          <w:u w:val="single"/>
        </w:rPr>
        <w:t>Cash Retention Bonus Agreement</w:t>
      </w:r>
    </w:p>
    <w:p>
      <w:pPr>
        <w:pStyle w:val="TextBody"/>
        <w:bidi w:val="0"/>
        <w:spacing w:lineRule="auto" w:line="288" w:before="240" w:after="283"/>
        <w:jc w:val="both"/>
        <w:rPr/>
      </w:pPr>
      <w:r>
        <w:rPr>
          <w:rFonts w:ascii="Times New Roman;serif" w:hAnsi="Times New Roman;serif"/>
          <w:b w:val="false"/>
          <w:color w:val="000000"/>
          <w:sz w:val="20"/>
        </w:rPr>
        <w:t>This Cash Retention Bonus Agreement (the “</w:t>
      </w:r>
      <w:r>
        <w:rPr>
          <w:rFonts w:ascii="Times New Roman;serif" w:hAnsi="Times New Roman;serif"/>
          <w:b w:val="false"/>
          <w:color w:val="000000"/>
          <w:sz w:val="20"/>
          <w:u w:val="single"/>
        </w:rPr>
        <w:t>Agreement</w:t>
      </w:r>
      <w:r>
        <w:rPr>
          <w:color w:val="000000"/>
        </w:rPr>
        <w:t>”</w:t>
      </w:r>
      <w:r>
        <w:rPr>
          <w:rFonts w:ascii="Times New Roman;serif" w:hAnsi="Times New Roman;serif"/>
          <w:b w:val="false"/>
          <w:color w:val="000000"/>
          <w:sz w:val="20"/>
        </w:rPr>
        <w:t>) is entered into as of March 3, 2025 (the “</w:t>
      </w:r>
      <w:r>
        <w:rPr>
          <w:rFonts w:ascii="Times New Roman;serif" w:hAnsi="Times New Roman;serif"/>
          <w:b w:val="false"/>
          <w:color w:val="000000"/>
          <w:sz w:val="20"/>
          <w:u w:val="single"/>
        </w:rPr>
        <w:t>Grant Date</w:t>
      </w:r>
      <w:r>
        <w:rPr>
          <w:color w:val="000000"/>
        </w:rPr>
        <w:t>”</w:t>
      </w:r>
      <w:r>
        <w:rPr>
          <w:rFonts w:ascii="Times New Roman;serif" w:hAnsi="Times New Roman;serif"/>
          <w:b w:val="false"/>
          <w:color w:val="000000"/>
          <w:sz w:val="20"/>
        </w:rPr>
        <w:t>) by and between Jonathan M. Lyons (“</w:t>
      </w:r>
      <w:r>
        <w:rPr>
          <w:rFonts w:ascii="Times New Roman;serif" w:hAnsi="Times New Roman;serif"/>
          <w:b w:val="false"/>
          <w:color w:val="000000"/>
          <w:sz w:val="20"/>
          <w:u w:val="single"/>
        </w:rPr>
        <w:t>Employee</w:t>
      </w:r>
      <w:r>
        <w:rPr>
          <w:color w:val="000000"/>
        </w:rPr>
        <w:t>”</w:t>
      </w:r>
      <w:r>
        <w:rPr>
          <w:rFonts w:ascii="Times New Roman;serif" w:hAnsi="Times New Roman;serif"/>
          <w:b w:val="false"/>
          <w:color w:val="000000"/>
          <w:sz w:val="20"/>
        </w:rPr>
        <w:t>) and Sotera Health Company (the “</w:t>
      </w:r>
      <w:r>
        <w:rPr>
          <w:rFonts w:ascii="Times New Roman;serif" w:hAnsi="Times New Roman;serif"/>
          <w:b w:val="false"/>
          <w:color w:val="000000"/>
          <w:sz w:val="20"/>
          <w:u w:val="single"/>
        </w:rPr>
        <w:t>Company</w:t>
      </w:r>
      <w:r>
        <w:rPr>
          <w:color w:val="000000"/>
        </w:rPr>
        <w:t>”</w:t>
      </w:r>
      <w:r>
        <w:rPr>
          <w:rFonts w:ascii="Times New Roman;serif" w:hAnsi="Times New Roman;serif"/>
          <w:b w:val="false"/>
          <w:color w:val="000000"/>
          <w:sz w:val="20"/>
        </w:rPr>
        <w:t>).</w:t>
      </w:r>
    </w:p>
    <w:p>
      <w:pPr>
        <w:pStyle w:val="TextBody"/>
        <w:bidi w:val="0"/>
        <w:spacing w:lineRule="auto" w:line="288" w:before="240" w:after="283"/>
        <w:ind w:left="0" w:right="0" w:firstLine="720"/>
        <w:jc w:val="left"/>
        <w:rPr/>
      </w:pPr>
      <w:r>
        <w:rPr>
          <w:rFonts w:ascii="Times New Roman;serif" w:hAnsi="Times New Roman;serif"/>
          <w:b w:val="false"/>
          <w:color w:val="000000"/>
          <w:sz w:val="20"/>
        </w:rPr>
        <w:t>1.</w:t>
      </w:r>
      <w:r>
        <w:rPr>
          <w:rFonts w:ascii="Times New Roman;serif" w:hAnsi="Times New Roman;serif"/>
          <w:b w:val="false"/>
          <w:color w:val="000000"/>
          <w:sz w:val="20"/>
          <w:u w:val="single"/>
        </w:rPr>
        <w:t>Retention Bonus</w:t>
      </w:r>
      <w:r>
        <w:rPr>
          <w:rFonts w:ascii="Times New Roman;serif" w:hAnsi="Times New Roman;serif"/>
          <w:b w:val="false"/>
          <w:color w:val="000000"/>
          <w:sz w:val="20"/>
        </w:rPr>
        <w:t>. In consideration for the Employee’s continued active employment with the Company, the Employee shall receive a cash bonus from the Company equal to $500,000 (the “</w:t>
      </w:r>
      <w:r>
        <w:rPr>
          <w:rFonts w:ascii="Times New Roman;serif" w:hAnsi="Times New Roman;serif"/>
          <w:b w:val="false"/>
          <w:color w:val="000000"/>
          <w:sz w:val="20"/>
          <w:u w:val="single"/>
        </w:rPr>
        <w:t>Retention Bonus</w:t>
      </w:r>
      <w:r>
        <w:rPr>
          <w:color w:val="000000"/>
        </w:rPr>
        <w:t>”</w:t>
      </w:r>
      <w:r>
        <w:rPr>
          <w:rFonts w:ascii="Times New Roman;serif" w:hAnsi="Times New Roman;serif"/>
          <w:b w:val="false"/>
          <w:color w:val="000000"/>
          <w:sz w:val="20"/>
        </w:rPr>
        <w:t>), subject to applicable tax withholdings.</w:t>
      </w:r>
    </w:p>
    <w:p>
      <w:pPr>
        <w:pStyle w:val="TextBody"/>
        <w:bidi w:val="0"/>
        <w:spacing w:lineRule="auto" w:line="288" w:before="240" w:after="283"/>
        <w:ind w:left="0" w:right="0" w:firstLine="720"/>
        <w:jc w:val="left"/>
        <w:rPr/>
      </w:pPr>
      <w:r>
        <w:rPr>
          <w:rFonts w:ascii="Times New Roman;serif" w:hAnsi="Times New Roman;serif"/>
          <w:b w:val="false"/>
          <w:color w:val="000000"/>
          <w:sz w:val="20"/>
        </w:rPr>
        <w:t>2.</w:t>
      </w:r>
      <w:r>
        <w:rPr>
          <w:rFonts w:ascii="Times New Roman;serif" w:hAnsi="Times New Roman;serif"/>
          <w:b w:val="false"/>
          <w:color w:val="000000"/>
          <w:sz w:val="20"/>
          <w:u w:val="single"/>
        </w:rPr>
        <w:t>Vesting</w:t>
      </w:r>
      <w:r>
        <w:rPr>
          <w:rFonts w:ascii="Times New Roman;serif" w:hAnsi="Times New Roman;serif"/>
          <w:b w:val="false"/>
          <w:color w:val="000000"/>
          <w:sz w:val="20"/>
        </w:rPr>
        <w:t>. The Retention Bonus shall vest in four (4) installments as follows: (i) 10% of the Retention Bonus will vest on the date that is the six-month anniversary of the Grant Date; (ii) 20% of the Retention Bonus will vest on the date that is the 12-month anniversary of the Grant Date; (iii) 30% of the Retention Bonus will vest on the date that is the 18-month anniversary of the Grant Date; and (iv) the remainder of the Retention Bonus will vest on the date that is the 24-month anniversary of the Grant Date, subject in each case to the recipient’s continued employment in good standing with the Company or any of its subsidiaries through each applicable vesting date (each, a “</w:t>
      </w:r>
      <w:r>
        <w:rPr>
          <w:rFonts w:ascii="Times New Roman;serif" w:hAnsi="Times New Roman;serif"/>
          <w:b w:val="false"/>
          <w:color w:val="000000"/>
          <w:sz w:val="20"/>
          <w:u w:val="single"/>
        </w:rPr>
        <w:t>Vesting Date</w:t>
      </w:r>
      <w:r>
        <w:rPr>
          <w:color w:val="000000"/>
        </w:rPr>
        <w:t>”</w:t>
      </w:r>
      <w:r>
        <w:rPr>
          <w:rFonts w:ascii="Times New Roman;serif" w:hAnsi="Times New Roman;serif"/>
          <w:b w:val="false"/>
          <w:color w:val="000000"/>
          <w:sz w:val="20"/>
        </w:rPr>
        <w:t>). Each installment shall be paid in a lump sum cash payment as soon as practicable following the applicable Vesting Date, but in no event later than March 15 of the calendar year following the calendar year in which such Vesting Date occurs.</w:t>
      </w:r>
    </w:p>
    <w:p>
      <w:pPr>
        <w:pStyle w:val="TextBody"/>
        <w:bidi w:val="0"/>
        <w:spacing w:lineRule="auto" w:line="288" w:before="240" w:after="283"/>
        <w:ind w:left="0" w:right="0" w:firstLine="720"/>
        <w:jc w:val="left"/>
        <w:rPr/>
      </w:pPr>
      <w:r>
        <w:rPr>
          <w:rFonts w:ascii="Times New Roman;serif" w:hAnsi="Times New Roman;serif"/>
          <w:b w:val="false"/>
          <w:color w:val="000000"/>
          <w:sz w:val="20"/>
        </w:rPr>
        <w:t>3.</w:t>
      </w:r>
      <w:r>
        <w:rPr>
          <w:rFonts w:ascii="Times New Roman;serif" w:hAnsi="Times New Roman;serif"/>
          <w:b w:val="false"/>
          <w:color w:val="000000"/>
          <w:sz w:val="20"/>
          <w:u w:val="single"/>
        </w:rPr>
        <w:t>Termination of Employment</w:t>
      </w:r>
      <w:r>
        <w:rPr>
          <w:rFonts w:ascii="Times New Roman;serif" w:hAnsi="Times New Roman;serif"/>
          <w:b w:val="false"/>
          <w:color w:val="000000"/>
          <w:sz w:val="20"/>
        </w:rPr>
        <w:t>. If Employee’s employment with the Company and its subsidiaries terminates for any reason prior to any applicable Vesting Date (or any other condition set forth in paragraph 2 above is not satisfied as of such Vesting Date), Employee’s right to payment of any remaining unvested portion of the Retention Bonus will be forfeited in its entirety.</w:t>
      </w:r>
    </w:p>
    <w:p>
      <w:pPr>
        <w:pStyle w:val="TextBody"/>
        <w:bidi w:val="0"/>
        <w:spacing w:lineRule="auto" w:line="288" w:before="240" w:after="283"/>
        <w:ind w:left="0" w:right="0" w:firstLine="720"/>
        <w:jc w:val="left"/>
        <w:rPr/>
      </w:pPr>
      <w:r>
        <w:rPr>
          <w:rFonts w:ascii="Times New Roman;serif" w:hAnsi="Times New Roman;serif"/>
          <w:b w:val="false"/>
          <w:color w:val="000000"/>
          <w:sz w:val="20"/>
        </w:rPr>
        <w:t>4.</w:t>
      </w:r>
      <w:r>
        <w:rPr>
          <w:rFonts w:ascii="Times New Roman;serif" w:hAnsi="Times New Roman;serif"/>
          <w:b w:val="false"/>
          <w:color w:val="000000"/>
          <w:sz w:val="20"/>
          <w:u w:val="single"/>
        </w:rPr>
        <w:t>No Right to Continued Employment</w:t>
      </w:r>
      <w:r>
        <w:rPr>
          <w:rFonts w:ascii="Times New Roman;serif" w:hAnsi="Times New Roman;serif"/>
          <w:b w:val="false"/>
          <w:color w:val="000000"/>
          <w:sz w:val="20"/>
        </w:rPr>
        <w:t>. The Employee agrees and acknowledges that this Agreement does not constitute a contract of employment or change the at-will nature of the Employee’s employment and that the Company is not making any guarantee or promise of future employment.</w:t>
      </w:r>
    </w:p>
    <w:p>
      <w:pPr>
        <w:pStyle w:val="TextBody"/>
        <w:bidi w:val="0"/>
        <w:spacing w:lineRule="auto" w:line="288" w:before="240" w:after="283"/>
        <w:ind w:left="0" w:right="0" w:firstLine="720"/>
        <w:jc w:val="left"/>
        <w:rPr/>
      </w:pPr>
      <w:r>
        <w:rPr>
          <w:rFonts w:ascii="Times New Roman;serif" w:hAnsi="Times New Roman;serif"/>
          <w:b w:val="false"/>
          <w:color w:val="000000"/>
          <w:sz w:val="20"/>
        </w:rPr>
        <w:t>5.</w:t>
      </w:r>
      <w:r>
        <w:rPr>
          <w:rFonts w:ascii="Times New Roman;serif" w:hAnsi="Times New Roman;serif"/>
          <w:b w:val="false"/>
          <w:color w:val="000000"/>
          <w:sz w:val="20"/>
          <w:u w:val="single"/>
        </w:rPr>
        <w:t>Effect on Other Benefits</w:t>
      </w:r>
      <w:r>
        <w:rPr>
          <w:rFonts w:ascii="Times New Roman;serif" w:hAnsi="Times New Roman;serif"/>
          <w:b w:val="false"/>
          <w:color w:val="000000"/>
          <w:sz w:val="20"/>
        </w:rPr>
        <w:t>. You acknowledge that payment of the Retention Bonus is not part of normal or expected compensation for purposes of calculating any severance, resignation, redundancy, end of service payments, bonuses, long-service awards, pension or retirement benefits, matching contributions or similar payments.</w:t>
      </w:r>
    </w:p>
    <w:p>
      <w:pPr>
        <w:pStyle w:val="TextBody"/>
        <w:bidi w:val="0"/>
        <w:spacing w:lineRule="auto" w:line="288" w:before="240" w:after="283"/>
        <w:ind w:left="0" w:right="0" w:firstLine="720"/>
        <w:jc w:val="left"/>
        <w:rPr/>
      </w:pPr>
      <w:r>
        <w:rPr>
          <w:rFonts w:ascii="Times New Roman;serif" w:hAnsi="Times New Roman;serif"/>
          <w:b w:val="false"/>
          <w:color w:val="000000"/>
          <w:sz w:val="20"/>
        </w:rPr>
        <w:t>6.</w:t>
      </w:r>
      <w:r>
        <w:rPr>
          <w:rFonts w:ascii="Times New Roman;serif" w:hAnsi="Times New Roman;serif"/>
          <w:b w:val="false"/>
          <w:color w:val="000000"/>
          <w:sz w:val="20"/>
          <w:u w:val="single"/>
        </w:rPr>
        <w:t>Successors</w:t>
      </w:r>
      <w:r>
        <w:rPr>
          <w:rFonts w:ascii="Times New Roman;serif" w:hAnsi="Times New Roman;serif"/>
          <w:b w:val="false"/>
          <w:color w:val="000000"/>
          <w:sz w:val="20"/>
        </w:rPr>
        <w:t>. This Agreement shall be binding upon the heirs, successors and assigns of the parties, including the Employee. Without the Company’s prior written consent, the Employee may not assign or delegate any or all rights, duties or obligations under this Agreement.</w:t>
      </w:r>
    </w:p>
    <w:p>
      <w:pPr>
        <w:pStyle w:val="TextBody"/>
        <w:bidi w:val="0"/>
        <w:spacing w:lineRule="auto" w:line="288" w:before="241" w:after="283"/>
        <w:ind w:left="0" w:right="0" w:firstLine="720"/>
        <w:jc w:val="left"/>
        <w:rPr/>
      </w:pPr>
      <w:r>
        <w:rPr>
          <w:rFonts w:ascii="Times New Roman;serif" w:hAnsi="Times New Roman;serif"/>
          <w:b w:val="false"/>
          <w:color w:val="000000"/>
          <w:sz w:val="20"/>
        </w:rPr>
        <w:t>7.</w:t>
      </w:r>
      <w:r>
        <w:rPr>
          <w:rFonts w:ascii="Times New Roman;serif" w:hAnsi="Times New Roman;serif"/>
          <w:b w:val="false"/>
          <w:color w:val="000000"/>
          <w:sz w:val="20"/>
          <w:u w:val="single"/>
        </w:rPr>
        <w:t>Funding Status</w:t>
      </w:r>
      <w:r>
        <w:rPr>
          <w:rFonts w:ascii="Times New Roman;serif" w:hAnsi="Times New Roman;serif"/>
          <w:b w:val="false"/>
          <w:color w:val="000000"/>
          <w:sz w:val="20"/>
        </w:rPr>
        <w:t>. The Company’s obligations under this Agreement shall be unfunded and unsecured.</w:t>
      </w:r>
    </w:p>
    <w:p>
      <w:pPr>
        <w:pStyle w:val="TextBody"/>
        <w:bidi w:val="0"/>
        <w:spacing w:lineRule="auto" w:line="288" w:before="240" w:after="283"/>
        <w:ind w:left="0" w:right="0" w:firstLine="720"/>
        <w:jc w:val="left"/>
        <w:rPr/>
      </w:pPr>
      <w:r>
        <w:rPr>
          <w:rFonts w:ascii="Times New Roman;serif" w:hAnsi="Times New Roman;serif"/>
          <w:b w:val="false"/>
          <w:color w:val="000000"/>
          <w:sz w:val="20"/>
        </w:rPr>
        <w:t>8.</w:t>
      </w:r>
      <w:r>
        <w:rPr>
          <w:rFonts w:ascii="Times New Roman;serif" w:hAnsi="Times New Roman;serif"/>
          <w:b w:val="false"/>
          <w:color w:val="000000"/>
          <w:sz w:val="20"/>
          <w:u w:val="single"/>
        </w:rPr>
        <w:t>Section 409A</w:t>
      </w:r>
      <w:r>
        <w:rPr>
          <w:rFonts w:ascii="Times New Roman;serif" w:hAnsi="Times New Roman;serif"/>
          <w:b w:val="false"/>
          <w:color w:val="000000"/>
          <w:sz w:val="20"/>
        </w:rPr>
        <w:t>. No amounts payable under this Agreement are intended to constitute “nonqualified deferred compensation” under Section 409A of the Code “</w:t>
      </w:r>
      <w:r>
        <w:rPr>
          <w:rFonts w:ascii="Times New Roman;serif" w:hAnsi="Times New Roman;serif"/>
          <w:b w:val="false"/>
          <w:color w:val="000000"/>
          <w:sz w:val="20"/>
          <w:u w:val="single"/>
        </w:rPr>
        <w:t>Section 409A</w:t>
      </w:r>
      <w:r>
        <w:rPr>
          <w:color w:val="000000"/>
        </w:rPr>
        <w:t>”</w:t>
      </w:r>
      <w:r>
        <w:rPr>
          <w:rFonts w:ascii="Times New Roman;serif" w:hAnsi="Times New Roman;serif"/>
          <w:b w:val="false"/>
          <w:color w:val="000000"/>
          <w:sz w:val="20"/>
        </w:rPr>
        <w:t>), and this Agreement shall be interpreted, construed and administered in a manner that reflects this intention.</w:t>
      </w:r>
    </w:p>
    <w:p>
      <w:pPr>
        <w:pStyle w:val="TextBody"/>
        <w:bidi w:val="0"/>
        <w:spacing w:lineRule="auto" w:line="288" w:before="240" w:after="283"/>
        <w:ind w:left="0" w:right="0" w:firstLine="720"/>
        <w:jc w:val="left"/>
        <w:rPr/>
      </w:pPr>
      <w:r>
        <w:rPr>
          <w:rFonts w:ascii="Times New Roman;serif" w:hAnsi="Times New Roman;serif"/>
          <w:b w:val="false"/>
          <w:color w:val="000000"/>
          <w:sz w:val="20"/>
        </w:rPr>
        <w:t>9.</w:t>
      </w:r>
      <w:r>
        <w:rPr>
          <w:rFonts w:ascii="Times New Roman;serif" w:hAnsi="Times New Roman;serif"/>
          <w:b w:val="false"/>
          <w:color w:val="000000"/>
          <w:sz w:val="20"/>
          <w:u w:val="single"/>
        </w:rPr>
        <w:t>Governing Law</w:t>
      </w:r>
      <w:r>
        <w:rPr>
          <w:rFonts w:ascii="Times New Roman;serif" w:hAnsi="Times New Roman;serif"/>
          <w:b w:val="false"/>
          <w:color w:val="000000"/>
          <w:sz w:val="20"/>
        </w:rPr>
        <w:t>. This Agreement shall be construed and enforced according to the laws of the State of Delaware, to the extent not preempted by federal law, without regard to its conflict of law rules.</w:t>
      </w:r>
    </w:p>
    <w:p>
      <w:pPr>
        <w:pStyle w:val="TextBody"/>
        <w:bidi w:val="0"/>
        <w:spacing w:lineRule="auto" w:line="288" w:before="240" w:after="283"/>
        <w:ind w:left="0" w:right="0" w:firstLine="720"/>
        <w:jc w:val="left"/>
        <w:rPr/>
      </w:pPr>
      <w:r>
        <w:rPr>
          <w:rFonts w:ascii="Times New Roman;serif" w:hAnsi="Times New Roman;serif"/>
          <w:b w:val="false"/>
          <w:color w:val="000000"/>
          <w:sz w:val="20"/>
        </w:rPr>
        <w:t>10.</w:t>
      </w:r>
      <w:r>
        <w:rPr>
          <w:rFonts w:ascii="Times New Roman;serif" w:hAnsi="Times New Roman;serif"/>
          <w:b w:val="false"/>
          <w:color w:val="000000"/>
          <w:sz w:val="20"/>
          <w:u w:val="single"/>
        </w:rPr>
        <w:t>Entire Agreement; Amendment</w:t>
      </w:r>
      <w:r>
        <w:rPr>
          <w:rFonts w:ascii="Times New Roman;serif" w:hAnsi="Times New Roman;serif"/>
          <w:b w:val="false"/>
          <w:color w:val="000000"/>
          <w:sz w:val="20"/>
        </w:rPr>
        <w:t>. This Agreement constitutes the entire agreement of the parties with respect to the subject matter hereof. No amendment hereto shall be effective unless it is in writing and executed by each of the parties hereto.</w:t>
      </w:r>
    </w:p>
    <w:p>
      <w:pPr>
        <w:pStyle w:val="TextBody"/>
        <w:bidi w:val="0"/>
        <w:spacing w:lineRule="auto" w:line="288" w:before="240" w:after="283"/>
        <w:ind w:left="0" w:right="0" w:firstLine="720"/>
        <w:jc w:val="both"/>
        <w:rPr/>
      </w:pPr>
      <w:r>
        <w:rPr>
          <w:rFonts w:ascii="Times New Roman;serif" w:hAnsi="Times New Roman;serif"/>
          <w:b w:val="false"/>
          <w:color w:val="000000"/>
          <w:sz w:val="20"/>
        </w:rPr>
        <w:t>11.</w:t>
      </w:r>
      <w:r>
        <w:rPr>
          <w:rFonts w:ascii="Times New Roman;serif" w:hAnsi="Times New Roman;serif"/>
          <w:b w:val="false"/>
          <w:color w:val="000000"/>
          <w:sz w:val="20"/>
          <w:u w:val="single"/>
        </w:rPr>
        <w:t>Withholding</w:t>
      </w:r>
      <w:r>
        <w:rPr>
          <w:rFonts w:ascii="Times New Roman;serif" w:hAnsi="Times New Roman;serif"/>
          <w:b w:val="false"/>
          <w:color w:val="000000"/>
          <w:sz w:val="20"/>
        </w:rPr>
        <w:t>. The Company may withhold from any amounts payable under this Agreement such federal, state and local taxes as may be required to be withheld pursuant to any applicable law or regulation.</w:t>
      </w:r>
    </w:p>
    <w:p>
      <w:pPr>
        <w:pStyle w:val="TextBody"/>
        <w:bidi w:val="0"/>
        <w:spacing w:lineRule="auto" w:line="288" w:before="600" w:after="283"/>
        <w:jc w:val="left"/>
        <w:rPr>
          <w:rFonts w:ascii="Times New Roman;serif" w:hAnsi="Times New Roman;serif"/>
          <w:b w:val="false"/>
          <w:color w:val="000000"/>
          <w:sz w:val="20"/>
        </w:rPr>
      </w:pPr>
      <w:r>
        <w:rPr>
          <w:rFonts w:ascii="Times New Roman;serif" w:hAnsi="Times New Roman;serif"/>
          <w:b w:val="false"/>
          <w:color w:val="000000"/>
          <w:sz w:val="20"/>
        </w:rPr>
        <w:t>[THE REMAINDER OF THIS PAGE IS INTENTIONALLY LEFT BLANK.]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6480175" cy="175260"/>
                <wp:effectExtent l="0" t="0" r="0" b="0"/>
                <wp:wrapNone/>
                <wp:docPr id="207" name="Frame20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79" w:after="283"/>
        <w:jc w:val="center"/>
        <w:rPr>
          <w:rFonts w:ascii="Times New Roman;serif" w:hAnsi="Times New Roman;serif"/>
          <w:b w:val="false"/>
          <w:color w:val="000000"/>
          <w:sz w:val="20"/>
        </w:rPr>
      </w:pPr>
      <w:r>
        <w:rPr>
          <w:rFonts w:ascii="Times New Roman;serif" w:hAnsi="Times New Roman;serif"/>
          <w:b w:val="false"/>
          <w:color w:val="000000"/>
          <w:sz w:val="20"/>
        </w:rPr>
        <w:t>IN WITNESS WHEREOF, the parties hereto have executed this Agreement as of the date and year first above written.</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Sotera Health Company</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2729" w:type="dxa"/>
        <w:jc w:val="left"/>
        <w:tblInd w:w="0" w:type="dxa"/>
        <w:tblLayout w:type="fixed"/>
        <w:tblCellMar>
          <w:top w:w="28" w:type="dxa"/>
          <w:left w:w="28" w:type="dxa"/>
          <w:bottom w:w="28" w:type="dxa"/>
          <w:right w:w="28" w:type="dxa"/>
        </w:tblCellMar>
      </w:tblPr>
      <w:tblGrid>
        <w:gridCol w:w="232"/>
        <w:gridCol w:w="205"/>
        <w:gridCol w:w="208"/>
        <w:gridCol w:w="610"/>
        <w:gridCol w:w="610"/>
        <w:gridCol w:w="864"/>
      </w:tblGrid>
      <w:tr>
        <w:trPr/>
        <w:tc>
          <w:tcPr>
            <w:tcW w:w="232"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Michael B. Petras, Jr.</w:t>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0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Michael B. Petras, Jr.</w:t>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Employee</w:t>
      </w:r>
    </w:p>
    <w:p>
      <w:pPr>
        <w:pStyle w:val="TextBody"/>
        <w:bidi w:val="0"/>
        <w:spacing w:before="0" w:after="0"/>
        <w:jc w:val="left"/>
        <w:rPr/>
      </w:pPr>
      <w:r>
        <w:rPr/>
      </w:r>
    </w:p>
    <w:p>
      <w:pPr>
        <w:pStyle w:val="TextBody"/>
        <w:bidi w:val="0"/>
        <w:spacing w:before="0" w:after="0"/>
        <w:jc w:val="left"/>
        <w:rPr/>
      </w:pPr>
      <w:r>
        <w:rPr/>
      </w:r>
    </w:p>
    <w:tbl>
      <w:tblPr>
        <w:tblW w:w="2594" w:type="dxa"/>
        <w:jc w:val="left"/>
        <w:tblInd w:w="0" w:type="dxa"/>
        <w:tblLayout w:type="fixed"/>
        <w:tblCellMar>
          <w:top w:w="28" w:type="dxa"/>
          <w:left w:w="28" w:type="dxa"/>
          <w:bottom w:w="28" w:type="dxa"/>
          <w:right w:w="28" w:type="dxa"/>
        </w:tblCellMar>
      </w:tblPr>
      <w:tblGrid>
        <w:gridCol w:w="232"/>
        <w:gridCol w:w="205"/>
        <w:gridCol w:w="208"/>
        <w:gridCol w:w="569"/>
        <w:gridCol w:w="569"/>
        <w:gridCol w:w="811"/>
      </w:tblGrid>
      <w:tr>
        <w:trPr/>
        <w:tc>
          <w:tcPr>
            <w:tcW w:w="232"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Jonathan M. Lyons</w:t>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19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Jonathan M. Lyons</w:t>
            </w:r>
          </w:p>
        </w:tc>
      </w:tr>
    </w:tbl>
    <w:p>
      <w:pPr>
        <w:pStyle w:val="TextBody"/>
        <w:bidi w:val="0"/>
        <w:spacing w:before="0" w:after="0"/>
        <w:ind w:left="0" w:right="0" w:firstLine="4500"/>
        <w:jc w:val="left"/>
        <w:rPr/>
      </w:pPr>
      <w:r>
        <w:rPr/>
      </w:r>
    </w:p>
    <w:p>
      <w:pPr>
        <w:pStyle w:val="TextBody"/>
        <w:bidi w:val="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6480175" cy="175260"/>
                <wp:effectExtent l="0" t="0" r="0" b="0"/>
                <wp:wrapNone/>
                <wp:docPr id="208" name="Frame20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right"/>
        <w:rPr>
          <w:rFonts w:ascii="Times New Roman;serif" w:hAnsi="Times New Roman;serif"/>
          <w:b/>
          <w:color w:val="000000"/>
          <w:sz w:val="20"/>
        </w:rPr>
      </w:pPr>
      <w:r>
        <w:rPr>
          <w:rFonts w:ascii="Times New Roman;serif" w:hAnsi="Times New Roman;serif"/>
          <w:b/>
          <w:color w:val="000000"/>
          <w:sz w:val="20"/>
        </w:rPr>
        <w:t>Exhibit 21.1</w:t>
      </w:r>
    </w:p>
    <w:p>
      <w:pPr>
        <w:pStyle w:val="TextBody"/>
        <w:bidi w:val="0"/>
        <w:spacing w:lineRule="auto" w:line="288" w:before="360" w:after="283"/>
        <w:jc w:val="center"/>
        <w:rPr>
          <w:rFonts w:ascii="Times New Roman;serif" w:hAnsi="Times New Roman;serif"/>
          <w:b w:val="false"/>
          <w:color w:val="000000"/>
          <w:sz w:val="20"/>
        </w:rPr>
      </w:pPr>
      <w:r>
        <w:rPr>
          <w:rFonts w:ascii="Times New Roman;serif" w:hAnsi="Times New Roman;serif"/>
          <w:b w:val="false"/>
          <w:color w:val="000000"/>
          <w:sz w:val="20"/>
        </w:rPr>
        <w:t>SOTERA HEALTH COMPANY</w:t>
      </w:r>
    </w:p>
    <w:p>
      <w:pPr>
        <w:pStyle w:val="TextBody"/>
        <w:bidi w:val="0"/>
        <w:spacing w:lineRule="auto" w:line="288" w:before="240" w:after="283"/>
        <w:jc w:val="left"/>
        <w:rPr/>
      </w:pPr>
      <w:r>
        <w:rPr>
          <w:rFonts w:ascii="Times New Roman;serif" w:hAnsi="Times New Roman;serif"/>
          <w:b w:val="false"/>
          <w:color w:val="000000"/>
          <w:sz w:val="20"/>
        </w:rPr>
        <w:t xml:space="preserve">The following is a list of subsidiaries of Sotera Health Company, omitting subsidiaries which are dormant entities without any operations and holding no or </w:t>
      </w:r>
      <w:r>
        <w:rPr>
          <w:rFonts w:ascii="Times New Roman;serif" w:hAnsi="Times New Roman;serif"/>
          <w:b w:val="false"/>
          <w:i/>
          <w:color w:val="000000"/>
          <w:sz w:val="20"/>
        </w:rPr>
        <w:t>de minimis assets</w:t>
      </w:r>
      <w:r>
        <w:rPr>
          <w:rFonts w:ascii="Times New Roman;serif" w:hAnsi="Times New Roman;serif"/>
          <w:b w:val="false"/>
          <w:color w:val="000000"/>
          <w:sz w:val="20"/>
        </w:rPr>
        <w:t>, and which, considered in the aggregate as a single subsidiary, would not constitute a significant subsidiary as of February 24, 2026.</w:t>
      </w:r>
    </w:p>
    <w:tbl>
      <w:tblPr>
        <w:tblW w:w="7241" w:type="dxa"/>
        <w:jc w:val="center"/>
        <w:tblInd w:w="0" w:type="dxa"/>
        <w:tblLayout w:type="fixed"/>
        <w:tblCellMar>
          <w:top w:w="28" w:type="dxa"/>
          <w:left w:w="28" w:type="dxa"/>
          <w:bottom w:w="28" w:type="dxa"/>
          <w:right w:w="28" w:type="dxa"/>
        </w:tblCellMar>
      </w:tblPr>
      <w:tblGrid>
        <w:gridCol w:w="1554"/>
        <w:gridCol w:w="1366"/>
        <w:gridCol w:w="1370"/>
        <w:gridCol w:w="109"/>
        <w:gridCol w:w="109"/>
        <w:gridCol w:w="109"/>
        <w:gridCol w:w="767"/>
        <w:gridCol w:w="767"/>
        <w:gridCol w:w="1090"/>
      </w:tblGrid>
      <w:tr>
        <w:trPr/>
        <w:tc>
          <w:tcPr>
            <w:tcW w:w="1554"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r>
      <w:tr>
        <w:trPr/>
        <w:tc>
          <w:tcPr>
            <w:tcW w:w="4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Name of Subsidiary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Jurisdiction of Incorporation</w:t>
            </w:r>
          </w:p>
        </w:tc>
      </w:tr>
      <w:tr>
        <w:trPr/>
        <w:tc>
          <w:tcPr>
            <w:tcW w:w="4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Companhia Brasileira de Esterilização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Brazil</w:t>
            </w:r>
          </w:p>
        </w:tc>
      </w:tr>
      <w:tr>
        <w:trPr/>
        <w:tc>
          <w:tcPr>
            <w:tcW w:w="4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DEROSS Holding B.V.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Netherlands</w:t>
            </w:r>
          </w:p>
        </w:tc>
      </w:tr>
      <w:tr>
        <w:trPr/>
        <w:tc>
          <w:tcPr>
            <w:tcW w:w="4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Nelson Laboratories,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Nelson Laboratories Bozeman,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Nelson Laboratories Fairfield Holdings,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Nelson Laboratories Fairfield,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Jersey</w:t>
            </w:r>
          </w:p>
        </w:tc>
      </w:tr>
      <w:tr>
        <w:trPr/>
        <w:tc>
          <w:tcPr>
            <w:tcW w:w="4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Nelson Laboratories Holdings,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Nelson Labs NV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Belgium</w:t>
            </w:r>
          </w:p>
        </w:tc>
      </w:tr>
      <w:tr>
        <w:trPr/>
        <w:tc>
          <w:tcPr>
            <w:tcW w:w="4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Nordion (Canada)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Canada</w:t>
            </w:r>
          </w:p>
        </w:tc>
      </w:tr>
      <w:tr>
        <w:trPr/>
        <w:tc>
          <w:tcPr>
            <w:tcW w:w="4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Nordion US Holdings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Nordion (US)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Regulatory Compliance Associates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REVISS Services (UK)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United Kingdom</w:t>
            </w:r>
          </w:p>
        </w:tc>
      </w:tr>
      <w:tr>
        <w:trPr/>
        <w:tc>
          <w:tcPr>
            <w:tcW w:w="4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RSI Leasing,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California</w:t>
            </w:r>
          </w:p>
        </w:tc>
      </w:tr>
      <w:tr>
        <w:trPr/>
        <w:tc>
          <w:tcPr>
            <w:tcW w:w="4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Sotera Health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Sotera Health Holdings,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Sotera Health Services,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Sterigenics Belgium Fleurus S.A.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Belgium</w:t>
            </w:r>
          </w:p>
        </w:tc>
      </w:tr>
      <w:tr>
        <w:trPr/>
        <w:tc>
          <w:tcPr>
            <w:tcW w:w="4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Sterigenics Belgium Petit Rechain S.A.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Belgium</w:t>
            </w:r>
          </w:p>
        </w:tc>
      </w:tr>
      <w:tr>
        <w:trPr/>
        <w:tc>
          <w:tcPr>
            <w:tcW w:w="4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Sterigenics Brasil Participaçãos EIRELI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Brazil</w:t>
            </w:r>
          </w:p>
        </w:tc>
      </w:tr>
      <w:tr>
        <w:trPr/>
        <w:tc>
          <w:tcPr>
            <w:tcW w:w="4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Sterigenics Costa Rica, S.R.L.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Costa Rica</w:t>
            </w:r>
          </w:p>
        </w:tc>
      </w:tr>
      <w:tr>
        <w:trPr/>
        <w:tc>
          <w:tcPr>
            <w:tcW w:w="4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Sterigenics Denmark 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Denmark</w:t>
            </w:r>
          </w:p>
        </w:tc>
      </w:tr>
      <w:tr>
        <w:trPr/>
        <w:tc>
          <w:tcPr>
            <w:tcW w:w="4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Sterigenics EO Canada,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Canada</w:t>
            </w:r>
          </w:p>
        </w:tc>
      </w:tr>
      <w:tr>
        <w:trPr/>
        <w:tc>
          <w:tcPr>
            <w:tcW w:w="4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Sterigenics France S.A.S.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France</w:t>
            </w:r>
          </w:p>
        </w:tc>
      </w:tr>
      <w:tr>
        <w:trPr/>
        <w:tc>
          <w:tcPr>
            <w:tcW w:w="4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Sterigenics Germany GmbH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Germany</w:t>
            </w:r>
          </w:p>
        </w:tc>
      </w:tr>
      <w:tr>
        <w:trPr/>
        <w:tc>
          <w:tcPr>
            <w:tcW w:w="4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Sterigenics Italy S.p.A.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Italy</w:t>
            </w:r>
          </w:p>
        </w:tc>
      </w:tr>
      <w:tr>
        <w:trPr/>
        <w:tc>
          <w:tcPr>
            <w:tcW w:w="4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Sterigenics NV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Belgium</w:t>
            </w:r>
          </w:p>
        </w:tc>
      </w:tr>
      <w:tr>
        <w:trPr/>
        <w:tc>
          <w:tcPr>
            <w:tcW w:w="4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Sterigenics Radiation Technologies,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Sterigenics Radiation Technologies Canada,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British Columbia</w:t>
            </w:r>
          </w:p>
        </w:tc>
      </w:tr>
      <w:tr>
        <w:trPr/>
        <w:tc>
          <w:tcPr>
            <w:tcW w:w="4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Sterigenics Radiation Technologies Holdings,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Sterigenics Radiation Technologies IN,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Indiana</w:t>
            </w:r>
          </w:p>
        </w:tc>
      </w:tr>
      <w:tr>
        <w:trPr/>
        <w:tc>
          <w:tcPr>
            <w:tcW w:w="4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Sterigenics, S. de R.L. de C.V.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Mexico</w:t>
            </w:r>
          </w:p>
        </w:tc>
      </w:tr>
      <w:tr>
        <w:trPr/>
        <w:tc>
          <w:tcPr>
            <w:tcW w:w="4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Sterigenics S.A.S.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France</w:t>
            </w:r>
          </w:p>
        </w:tc>
      </w:tr>
      <w:tr>
        <w:trPr/>
        <w:tc>
          <w:tcPr>
            <w:tcW w:w="4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Sterigenics Shanghai E-beam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China</w:t>
            </w:r>
          </w:p>
        </w:tc>
      </w:tr>
      <w:tr>
        <w:trPr/>
        <w:tc>
          <w:tcPr>
            <w:tcW w:w="4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Sterigenics Shanghai ETO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China</w:t>
            </w:r>
          </w:p>
        </w:tc>
      </w:tr>
      <w:tr>
        <w:trPr/>
        <w:tc>
          <w:tcPr>
            <w:tcW w:w="4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Sterigenics Thailand,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Thailand</w:t>
            </w:r>
          </w:p>
        </w:tc>
      </w:tr>
      <w:tr>
        <w:trPr/>
        <w:tc>
          <w:tcPr>
            <w:tcW w:w="4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Sterigenics UK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United Kingdom</w:t>
            </w:r>
          </w:p>
        </w:tc>
      </w:tr>
      <w:tr>
        <w:trPr/>
        <w:tc>
          <w:tcPr>
            <w:tcW w:w="4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Sterigenics U.S.,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STR C.V.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Netherlands</w:t>
            </w:r>
          </w:p>
        </w:tc>
      </w:tr>
      <w:tr>
        <w:trPr/>
        <w:tc>
          <w:tcPr>
            <w:tcW w:w="4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Unidade de Esterilização Cotia LTDA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Brazil</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23.1</w:t>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6480175" cy="175260"/>
                <wp:effectExtent l="0" t="0" r="0" b="0"/>
                <wp:wrapNone/>
                <wp:docPr id="209" name="Frame20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Consent of Independent Registered Public Accounting Firm</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We consent to the incorporation by reference in the following Registration Statements:</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(1)Registration Statement (Form S-3 No. 333-277418) of Sotera Health Company; and</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(2)Registration Statement (Form S-8 No. 333-250894) pertaining to the Sotera Health Company 2020 Omnibus Incentive Plan;</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of our reports dated February 24, 2026, with respect to the consolidated financial statements and schedule of Sotera Health Company and the effectiveness of internal control over financial reporting of Sotera Health Company, included in this Annual Report (Form 10-K) of Sotera Health Company for the year ended December 31, 2025.</w:t>
      </w:r>
    </w:p>
    <w:p>
      <w:pPr>
        <w:pStyle w:val="TextBody"/>
        <w:bidi w:val="0"/>
        <w:spacing w:lineRule="auto" w:line="288" w:before="360" w:after="283"/>
        <w:jc w:val="left"/>
        <w:rPr>
          <w:rFonts w:ascii="Times New Roman;serif" w:hAnsi="Times New Roman;serif"/>
          <w:b w:val="false"/>
          <w:color w:val="000000"/>
          <w:sz w:val="20"/>
        </w:rPr>
      </w:pPr>
      <w:r>
        <w:rPr>
          <w:rFonts w:ascii="Times New Roman;serif" w:hAnsi="Times New Roman;serif"/>
          <w:b w:val="false"/>
          <w:color w:val="000000"/>
          <w:sz w:val="20"/>
        </w:rPr>
        <w:t>/s/ Ernst &amp; Young LLP</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Cleveland, Ohio</w:t>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February 24,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6480175" cy="175260"/>
                <wp:effectExtent l="0" t="0" r="0" b="0"/>
                <wp:wrapNone/>
                <wp:docPr id="210" name="Frame20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PRINCIPAL EXECUTIVE OFFICER</w:t>
      </w:r>
    </w:p>
    <w:p>
      <w:pPr>
        <w:pStyle w:val="TextBody"/>
        <w:bidi w:val="0"/>
        <w:spacing w:before="0" w:after="0"/>
        <w:ind w:left="0" w:right="0" w:firstLine="144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302 OF THE SARBANES-OXLEY ACT OF 2002</w: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 Michael B. Petras, Jr., certify that:</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Annual Report on Form 10-K of Sotera Health Company;</w:t>
      </w:r>
    </w:p>
    <w:p>
      <w:pPr>
        <w:pStyle w:val="TextBody"/>
        <w:bidi w:val="0"/>
        <w:spacing w:before="0" w:after="0"/>
        <w:jc w:val="left"/>
        <w:rPr/>
      </w:pPr>
      <w:r>
        <w:rPr/>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24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24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24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24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24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24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480" w:after="283"/>
        <w:jc w:val="left"/>
        <w:rPr>
          <w:rFonts w:ascii="Times New Roman;serif" w:hAnsi="Times New Roman;serif"/>
          <w:b w:val="false"/>
          <w:color w:val="000000"/>
          <w:sz w:val="20"/>
        </w:rPr>
      </w:pPr>
      <w:r>
        <w:rPr>
          <w:rFonts w:ascii="Times New Roman;serif" w:hAnsi="Times New Roman;serif"/>
          <w:b w:val="false"/>
          <w:color w:val="000000"/>
          <w:sz w:val="20"/>
        </w:rPr>
        <w:t>Date:    February 24, 2026</w:t>
      </w:r>
    </w:p>
    <w:tbl>
      <w:tblPr>
        <w:tblW w:w="3269" w:type="dxa"/>
        <w:jc w:val="left"/>
        <w:tblInd w:w="0" w:type="dxa"/>
        <w:tblLayout w:type="fixed"/>
        <w:tblCellMar>
          <w:top w:w="28" w:type="dxa"/>
          <w:left w:w="28" w:type="dxa"/>
          <w:bottom w:w="28" w:type="dxa"/>
          <w:right w:w="28" w:type="dxa"/>
        </w:tblCellMar>
      </w:tblPr>
      <w:tblGrid>
        <w:gridCol w:w="1045"/>
        <w:gridCol w:w="917"/>
        <w:gridCol w:w="1307"/>
      </w:tblGrid>
      <w:tr>
        <w:trPr/>
        <w:tc>
          <w:tcPr>
            <w:tcW w:w="1045"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Michael B. Petras, Jr.</w:t>
            </w:r>
          </w:p>
        </w:tc>
      </w:tr>
      <w:tr>
        <w:trPr/>
        <w:tc>
          <w:tcPr>
            <w:tcW w:w="32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Michael B. Petras, Jr.</w:t>
            </w:r>
          </w:p>
        </w:tc>
      </w:tr>
      <w:tr>
        <w:trPr/>
        <w:tc>
          <w:tcPr>
            <w:tcW w:w="326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Chairman and Chief Executive Officer</w:t>
            </w:r>
          </w:p>
        </w:tc>
      </w:tr>
      <w:tr>
        <w:trPr/>
        <w:tc>
          <w:tcPr>
            <w:tcW w:w="326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 xml:space="preserve">(Principal Executive Officer) </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6480175" cy="175260"/>
                <wp:effectExtent l="0" t="0" r="0" b="0"/>
                <wp:wrapNone/>
                <wp:docPr id="211" name="Frame20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PRINCIPAL FINANCIAL OFFICER</w:t>
      </w:r>
    </w:p>
    <w:p>
      <w:pPr>
        <w:pStyle w:val="TextBody"/>
        <w:bidi w:val="0"/>
        <w:spacing w:before="0" w:after="0"/>
        <w:ind w:left="0" w:right="0" w:firstLine="144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302 OF THE SARBANES-OXLEY ACT OF 2002</w: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 Jonathan M. Lyons, certify that:</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Annual Report on Form 10-K of Sotera Health Company;</w:t>
      </w:r>
    </w:p>
    <w:p>
      <w:pPr>
        <w:pStyle w:val="TextBody"/>
        <w:bidi w:val="0"/>
        <w:spacing w:before="0" w:after="0"/>
        <w:jc w:val="left"/>
        <w:rPr/>
      </w:pPr>
      <w:r>
        <w:rPr/>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24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24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24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24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24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24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480" w:after="283"/>
        <w:jc w:val="left"/>
        <w:rPr>
          <w:rFonts w:ascii="Times New Roman;serif" w:hAnsi="Times New Roman;serif"/>
          <w:b w:val="false"/>
          <w:color w:val="000000"/>
          <w:sz w:val="20"/>
        </w:rPr>
      </w:pPr>
      <w:r>
        <w:rPr>
          <w:rFonts w:ascii="Times New Roman;serif" w:hAnsi="Times New Roman;serif"/>
          <w:b w:val="false"/>
          <w:color w:val="000000"/>
          <w:sz w:val="20"/>
        </w:rPr>
        <w:t>Date:    February 24, 2026</w:t>
      </w:r>
    </w:p>
    <w:tbl>
      <w:tblPr>
        <w:tblW w:w="4155" w:type="dxa"/>
        <w:jc w:val="left"/>
        <w:tblInd w:w="0" w:type="dxa"/>
        <w:tblLayout w:type="fixed"/>
        <w:tblCellMar>
          <w:top w:w="28" w:type="dxa"/>
          <w:left w:w="28" w:type="dxa"/>
          <w:bottom w:w="28" w:type="dxa"/>
          <w:right w:w="28" w:type="dxa"/>
        </w:tblCellMar>
      </w:tblPr>
      <w:tblGrid>
        <w:gridCol w:w="1328"/>
        <w:gridCol w:w="1167"/>
        <w:gridCol w:w="1660"/>
      </w:tblGrid>
      <w:tr>
        <w:trPr/>
        <w:tc>
          <w:tcPr>
            <w:tcW w:w="1328"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660"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Jonathan M. Lyons</w:t>
            </w:r>
          </w:p>
        </w:tc>
      </w:tr>
      <w:tr>
        <w:trPr/>
        <w:tc>
          <w:tcPr>
            <w:tcW w:w="4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Jonathan M. Lyons</w:t>
            </w:r>
          </w:p>
        </w:tc>
      </w:tr>
      <w:tr>
        <w:trPr/>
        <w:tc>
          <w:tcPr>
            <w:tcW w:w="415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Senior Vice President and Chief Financial Officer</w:t>
            </w:r>
          </w:p>
        </w:tc>
      </w:tr>
      <w:tr>
        <w:trPr/>
        <w:tc>
          <w:tcPr>
            <w:tcW w:w="415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 xml:space="preserve">(Principal Financial Officer) </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6480175" cy="175260"/>
                <wp:effectExtent l="0" t="0" r="0" b="0"/>
                <wp:wrapNone/>
                <wp:docPr id="212" name="Frame2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24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CERTIFICATIONS OF PRINCIPAL EXECUTIVE OFFICER AND PRINCIPAL FINANCIAL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906 OF THE SARBANES-OXLEY ACT OF 2002</w:t>
      </w:r>
    </w:p>
    <w:p>
      <w:pPr>
        <w:pStyle w:val="TextBody"/>
        <w:bidi w:val="0"/>
        <w:spacing w:before="0" w:after="0"/>
        <w:jc w:val="left"/>
        <w:rPr/>
      </w:pPr>
      <w:r>
        <w:rPr/>
      </w:r>
    </w:p>
    <w:p>
      <w:pPr>
        <w:pStyle w:val="TextBody"/>
        <w:bidi w:val="0"/>
        <w:spacing w:lineRule="auto" w:line="288" w:before="0" w:after="240"/>
        <w:ind w:left="0" w:right="0" w:firstLine="720"/>
        <w:jc w:val="left"/>
        <w:rPr/>
      </w:pPr>
      <w:r>
        <w:rPr>
          <w:rFonts w:ascii="Times New Roman;serif" w:hAnsi="Times New Roman;serif"/>
          <w:b w:val="false"/>
          <w:color w:val="000000"/>
          <w:sz w:val="20"/>
        </w:rPr>
        <w:t>Pursuant to section 906 of the Sarbanes-Oxley Act of 2002 (subsections (a) and (b) of Section 1350, Chapter 63 of Title 18, United States Code), each of the undersigned officers of Sotera Health Company (the “</w:t>
      </w:r>
      <w:r>
        <w:rPr>
          <w:rFonts w:ascii="Times New Roman;serif" w:hAnsi="Times New Roman;serif"/>
          <w:b w:val="false"/>
          <w:color w:val="000000"/>
          <w:sz w:val="20"/>
          <w:u w:val="single"/>
        </w:rPr>
        <w:t>Company</w:t>
      </w:r>
      <w:r>
        <w:rPr>
          <w:color w:val="000000"/>
        </w:rPr>
        <w:t>”</w:t>
      </w:r>
      <w:r>
        <w:rPr>
          <w:rFonts w:ascii="Times New Roman;serif" w:hAnsi="Times New Roman;serif"/>
          <w:b w:val="false"/>
          <w:color w:val="000000"/>
          <w:sz w:val="20"/>
        </w:rPr>
        <w:t>), do hereby certify, to each such officer’s knowledge, that the Annual Report on Form 10-K for the year ended December 31, 2025 of the Company fully complies with the requirements of Section 13(a) or Section 15(d) of the Securities Exchange Act of 1934 and that the information contained in the Annual Report on Form 10-K fairly presents, in all material respects, the financial condition and results of operations of the Company.</w:t>
      </w:r>
    </w:p>
    <w:tbl>
      <w:tblPr>
        <w:tblW w:w="6824" w:type="dxa"/>
        <w:jc w:val="left"/>
        <w:tblInd w:w="0" w:type="dxa"/>
        <w:tblLayout w:type="fixed"/>
        <w:tblCellMar>
          <w:top w:w="28" w:type="dxa"/>
          <w:left w:w="28" w:type="dxa"/>
          <w:bottom w:w="28" w:type="dxa"/>
          <w:right w:w="28" w:type="dxa"/>
        </w:tblCellMar>
      </w:tblPr>
      <w:tblGrid>
        <w:gridCol w:w="792"/>
        <w:gridCol w:w="696"/>
        <w:gridCol w:w="702"/>
        <w:gridCol w:w="1356"/>
        <w:gridCol w:w="1356"/>
        <w:gridCol w:w="1922"/>
      </w:tblGrid>
      <w:tr>
        <w:trPr/>
        <w:tc>
          <w:tcPr>
            <w:tcW w:w="7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1922"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Dated: February 24, 2026</w:t>
            </w:r>
          </w:p>
        </w:tc>
        <w:tc>
          <w:tcPr>
            <w:tcW w:w="46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 Michael B. Petras, Jr.</w:t>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Michael B. Petras, Jr.</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Title: Chairman and Chief Executive Officer</w:t>
            </w:r>
          </w:p>
          <w:p>
            <w:pPr>
              <w:pStyle w:val="TableContents"/>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r>
        <w:trPr/>
        <w:tc>
          <w:tcPr>
            <w:tcW w:w="219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Dated: February 24, 2026</w:t>
            </w:r>
          </w:p>
        </w:tc>
        <w:tc>
          <w:tcPr>
            <w:tcW w:w="46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 Jonathan M. Lyons</w:t>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Jonathan M. Lyons</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Title: Senior Vice President and Chief Financial Officer</w:t>
            </w:r>
          </w:p>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tc>
      </w:tr>
    </w:tbl>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The foregoing certifications are furnished and are not deemed filed with the Securities and Exchange Commission for purposes of Section 18 of the Securities Exchange Act of 1934, as amended (Exchange Act), and are not deemed to be incorporated by reference into any filing of Sotera Health Company under the Securities Act of 1933, as amended, or the Exchange Act, except to the extent that Sotera Health Company specifically incorporates them by reference.</w:t>
      </w:r>
    </w:p>
    <w:p>
      <w:pPr>
        <w:pStyle w:val="TextBody"/>
        <w:bidi w:val="0"/>
        <w:spacing w:before="0" w:after="283"/>
        <w:jc w:val="left"/>
        <w:rPr/>
      </w:pPr>
      <w:r>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6480175" cy="175260"/>
                <wp:effectExtent l="0" t="0" r="0" b="0"/>
                <wp:wrapNone/>
                <wp:docPr id="213" name="Frame2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s://www.sec.gov/Archives/edgar/data/1822479/000182247921000018/shc_20201231xexhibitx3x1.htm" TargetMode="External"/><Relationship Id="rId5" Type="http://schemas.openxmlformats.org/officeDocument/2006/relationships/hyperlink" Target="https://www.sec.gov/Archives/edgar/data/1822479/000182247924000027/shc_20240523xexhibitx3x1.htm" TargetMode="External"/><Relationship Id="rId6" Type="http://schemas.openxmlformats.org/officeDocument/2006/relationships/hyperlink" Target="https://www.sec.gov/Archives/edgar/data/1822479/000182247924000027/shc_20240523xexhibitx3x1.htm" TargetMode="External"/><Relationship Id="rId7" Type="http://schemas.openxmlformats.org/officeDocument/2006/relationships/hyperlink" Target="https://www.sec.gov/Archives/edgar/data/1822479/000182247924000027/shc_20240523xexhibitx3x1.htm" TargetMode="External"/><Relationship Id="rId8" Type="http://schemas.openxmlformats.org/officeDocument/2006/relationships/hyperlink" Target="https://www.sec.gov/Archives/edgar/data/1822479/000182247924000049/shc20240930_exhibitx3x1.htm" TargetMode="External"/><Relationship Id="rId9" Type="http://schemas.openxmlformats.org/officeDocument/2006/relationships/hyperlink" Target="https://www.sec.gov/Archives/edgar/data/1822479/000182247921000018/shc_20201231xexhibitx4x1.htm" TargetMode="External"/><Relationship Id="rId10" Type="http://schemas.openxmlformats.org/officeDocument/2006/relationships/hyperlink" Target="https://www.sec.gov/Archives/edgar/data/1822479/000182247921000018/shc_20201231xexhibitx4x2.htm" TargetMode="External"/><Relationship Id="rId11" Type="http://schemas.openxmlformats.org/officeDocument/2006/relationships/hyperlink" Target="https://www.sec.gov/Archives/edgar/data/1822479/000182247924000041/shc20240630_exhibitx4x1.htm" TargetMode="External"/><Relationship Id="rId12" Type="http://schemas.openxmlformats.org/officeDocument/2006/relationships/hyperlink" Target="https://www.sec.gov/Archives/edgar/data/1822479/000182247924000041/shc20240630_exhibitx4x1.htm" TargetMode="External"/><Relationship Id="rId13" Type="http://schemas.openxmlformats.org/officeDocument/2006/relationships/hyperlink" Target="https://www.sec.gov/Archives/edgar/data/1822479/000182247924000041/shc20240630_exhibitx4x3.htm" TargetMode="External"/><Relationship Id="rId14" Type="http://schemas.openxmlformats.org/officeDocument/2006/relationships/hyperlink" Target="https://www.sec.gov/Archives/edgar/data/1822479/000119312520290973/d93452dex101.htm" TargetMode="External"/><Relationship Id="rId15" Type="http://schemas.openxmlformats.org/officeDocument/2006/relationships/hyperlink" Target="https://www.sec.gov/Archives/edgar/data/1822479/000182247923000015/shc20221231_exhibitx10x07.htm" TargetMode="External"/><Relationship Id="rId16" Type="http://schemas.openxmlformats.org/officeDocument/2006/relationships/hyperlink" Target="https://www.sec.gov/Archives/edgar/data/1822479/000182247923000015/shc20221231_exhibitx10x08.htm" TargetMode="External"/><Relationship Id="rId17" Type="http://schemas.openxmlformats.org/officeDocument/2006/relationships/hyperlink" Target="https://www.sec.gov/Archives/edgar/data/1822479/000182247923000015/shc20221231_exhibitx10x09.htm" TargetMode="External"/><Relationship Id="rId18" Type="http://schemas.openxmlformats.org/officeDocument/2006/relationships/hyperlink" Target="https://www.sec.gov/Archives/edgar/data/1822479/000182247925000025/shc20250331_exhibitx10x2.htm" TargetMode="External"/><Relationship Id="rId19" Type="http://schemas.openxmlformats.org/officeDocument/2006/relationships/hyperlink" Target="https://www.sec.gov/Archives/edgar/data/1822479/000182247923000051/shc20230630_exhibitx10x3.htm" TargetMode="External"/><Relationship Id="rId20" Type="http://schemas.openxmlformats.org/officeDocument/2006/relationships/hyperlink" Target="https://www.sec.gov/Archives/edgar/data/1822479/000119312520290973/d93452dex104.htm" TargetMode="External"/><Relationship Id="rId21" Type="http://schemas.openxmlformats.org/officeDocument/2006/relationships/hyperlink" Target="https://www.sec.gov/Archives/edgar/data/1822479/000119312520290973/d93452dex105.htm" TargetMode="External"/><Relationship Id="rId22" Type="http://schemas.openxmlformats.org/officeDocument/2006/relationships/hyperlink" Target="https://www.sec.gov/Archives/edgar/data/1822479/000119312520290973/d93452dex106.htm" TargetMode="External"/><Relationship Id="rId23" Type="http://schemas.openxmlformats.org/officeDocument/2006/relationships/hyperlink" Target="https://www.sec.gov/Archives/edgar/data/1822479/000119312520290973/d93452dex107.htm" TargetMode="External"/><Relationship Id="rId24" Type="http://schemas.openxmlformats.org/officeDocument/2006/relationships/hyperlink" Target="https://www.sec.gov/Archives/edgar/data/1822479/000119312520284069/d93452dex108.htm" TargetMode="External"/><Relationship Id="rId25" Type="http://schemas.openxmlformats.org/officeDocument/2006/relationships/hyperlink" Target="https://www.sec.gov/Archives/edgar/data/1822479/000182247921000018/shc_20201231xexhibitx10x9.htm" TargetMode="External"/><Relationship Id="rId26" Type="http://schemas.openxmlformats.org/officeDocument/2006/relationships/hyperlink" Target="https://www.sec.gov/Archives/edgar/data/1822479/000119312520275568/d93452dex1010.htm" TargetMode="External"/><Relationship Id="rId27" Type="http://schemas.openxmlformats.org/officeDocument/2006/relationships/hyperlink" Target="https://www.sec.gov/Archives/edgar/data/1822479/000119312520275568/d93452dex1011.htm" TargetMode="External"/><Relationship Id="rId28" Type="http://schemas.openxmlformats.org/officeDocument/2006/relationships/hyperlink" Target="https://www.sec.gov/Archives/edgar/data/1822479/000119312520275568/d93452dex1012.htm" TargetMode="External"/><Relationship Id="rId29" Type="http://schemas.openxmlformats.org/officeDocument/2006/relationships/hyperlink" Target="https://www.sec.gov/Archives/edgar/data/1822479/000119312520275568/d93452dex1013.htm" TargetMode="External"/><Relationship Id="rId30" Type="http://schemas.openxmlformats.org/officeDocument/2006/relationships/hyperlink" Target="https://www.sec.gov/Archives/edgar/data/1822479/000119312520275568/d93452dex1014.htm" TargetMode="External"/><Relationship Id="rId31" Type="http://schemas.openxmlformats.org/officeDocument/2006/relationships/hyperlink" Target="https://www.sec.gov/Archives/edgar/data/1822479/000119312520275568/d93452dex1015.htm" TargetMode="External"/><Relationship Id="rId32" Type="http://schemas.openxmlformats.org/officeDocument/2006/relationships/hyperlink" Target="https://www.sec.gov/Archives/edgar/data/1822479/000119312520275568/d93452dex1016.htm" TargetMode="External"/><Relationship Id="rId33" Type="http://schemas.openxmlformats.org/officeDocument/2006/relationships/hyperlink" Target="https://www.sec.gov/Archives/edgar/data/1822479/000119312520275568/d93452dex1017.htm" TargetMode="External"/><Relationship Id="rId34" Type="http://schemas.openxmlformats.org/officeDocument/2006/relationships/hyperlink" Target="https://www.sec.gov/Archives/edgar/data/1822479/000119312520275568/d93452dex1026.htm" TargetMode="External"/><Relationship Id="rId35" Type="http://schemas.openxmlformats.org/officeDocument/2006/relationships/hyperlink" Target="https://www.sec.gov/Archives/edgar/data/1822479/000119312520275568/d93452dex1027.htm" TargetMode="External"/><Relationship Id="rId36" Type="http://schemas.openxmlformats.org/officeDocument/2006/relationships/hyperlink" Target="https://www.sec.gov/Archives/edgar/data/1822479/000119312520275568/d93452dex1028.htm" TargetMode="External"/><Relationship Id="rId37" Type="http://schemas.openxmlformats.org/officeDocument/2006/relationships/hyperlink" Target="https://www.sec.gov/Archives/edgar/data/1822479/000119312520275568/d93452dex1029.htm" TargetMode="External"/><Relationship Id="rId38" Type="http://schemas.openxmlformats.org/officeDocument/2006/relationships/hyperlink" Target="https://www.sec.gov/Archives/edgar/data/1822479/000119312520297076/d93452dex1030.htm" TargetMode="External"/><Relationship Id="rId39" Type="http://schemas.openxmlformats.org/officeDocument/2006/relationships/hyperlink" Target="https://www.sec.gov/Archives/edgar/data/1822479/000119312520290973/d93452dex1031.htm" TargetMode="External"/><Relationship Id="rId40" Type="http://schemas.openxmlformats.org/officeDocument/2006/relationships/hyperlink" Target="https://www.sec.gov/Archives/edgar/data/1822479/000119312520290973/d93452dex1032.htm" TargetMode="External"/><Relationship Id="rId41" Type="http://schemas.openxmlformats.org/officeDocument/2006/relationships/hyperlink" Target="https://www.sec.gov/Archives/edgar/data/1822479/000182247921000018/shc_20201231xexhibitx10x26.htm" TargetMode="External"/><Relationship Id="rId42" Type="http://schemas.openxmlformats.org/officeDocument/2006/relationships/hyperlink" Target="https://www.sec.gov/Archives/edgar/data/1822479/000182247921000018/shc_20201231xexhibitx10x27.htm" TargetMode="External"/><Relationship Id="rId43" Type="http://schemas.openxmlformats.org/officeDocument/2006/relationships/hyperlink" Target="https://www.sec.gov/Archives/edgar/data/1822479/000182247921000018/shc_20201231xexhibitx10x28.htm" TargetMode="External"/><Relationship Id="rId44" Type="http://schemas.openxmlformats.org/officeDocument/2006/relationships/hyperlink" Target="https://www.sec.gov/Archives/edgar/data/1822479/000182247921000028/shc-20210331_exhibitx10x2.htm" TargetMode="External"/><Relationship Id="rId45" Type="http://schemas.openxmlformats.org/officeDocument/2006/relationships/hyperlink" Target="https://www.sec.gov/Archives/edgar/data/1822479/000182247922000014/shc_20211231xexhibitx10x31.htm" TargetMode="External"/><Relationship Id="rId46" Type="http://schemas.openxmlformats.org/officeDocument/2006/relationships/hyperlink" Target="https://www.sec.gov/Archives/edgar/data/1822479/000182247923000015/shc20221231_exhibitx10x37.htm" TargetMode="External"/><Relationship Id="rId47" Type="http://schemas.openxmlformats.org/officeDocument/2006/relationships/hyperlink" Target="https://www.sec.gov/Archives/edgar/data/1822479/000119312523075979/d455593dex101.htm" TargetMode="External"/><Relationship Id="rId48" Type="http://schemas.openxmlformats.org/officeDocument/2006/relationships/hyperlink" Target="https://www.sec.gov/Archives/edgar/data/1822479/000182247923000039/shc20230622_exhibitx10x1.htm" TargetMode="External"/><Relationship Id="rId49" Type="http://schemas.openxmlformats.org/officeDocument/2006/relationships/hyperlink" Target="https://www.sec.gov/Archives/edgar/data/1822479/000119312524058025/d786395dex101.htm" TargetMode="External"/><Relationship Id="rId50" Type="http://schemas.openxmlformats.org/officeDocument/2006/relationships/hyperlink" Target="https://www.sec.gov/Archives/edgar/data/1822479/000119312524058025/d786395dex101.htm" TargetMode="External"/><Relationship Id="rId51" Type="http://schemas.openxmlformats.org/officeDocument/2006/relationships/hyperlink" Target="https://www.sec.gov/Archives/edgar/data/1822479/000119312524058025/d786395dex101.htm" TargetMode="External"/><Relationship Id="rId52" Type="http://schemas.openxmlformats.org/officeDocument/2006/relationships/hyperlink" Target="https://www.sec.gov/Archives/edgar/data/1822479/000182247924000041/shc20240630_exhibitx10x1.htm" TargetMode="External"/><Relationship Id="rId53" Type="http://schemas.openxmlformats.org/officeDocument/2006/relationships/hyperlink" Target="https://www.sec.gov/Archives/edgar/data/1822479/000182247925000025/shc20250331_exhibitx10x1.htm" TargetMode="External"/><Relationship Id="rId54" Type="http://schemas.openxmlformats.org/officeDocument/2006/relationships/hyperlink" Target="https://www.sec.gov/Archives/edgar/data/1822479/000119312525207549/d45811dex101.htm" TargetMode="External"/><Relationship Id="rId55" Type="http://schemas.openxmlformats.org/officeDocument/2006/relationships/hyperlink" Target="https://www.sec.gov/Archives/edgar/data/1822479/000182247923000015/shc20221231_exhibitx10x48.htm" TargetMode="External"/><Relationship Id="rId56" Type="http://schemas.openxmlformats.org/officeDocument/2006/relationships/hyperlink" Target="https://www.sec.gov/Archives/edgar/data/1822479/000182247923000015/shc20221231_exhibitx10x49.htm" TargetMode="External"/><Relationship Id="rId57" Type="http://schemas.openxmlformats.org/officeDocument/2006/relationships/hyperlink" Target="https://www.sec.gov/Archives/edgar/data/1822479/000182247925000015/shc20241231_exhibitx19x1.htm" TargetMode="External"/><Relationship Id="rId58" Type="http://schemas.openxmlformats.org/officeDocument/2006/relationships/hyperlink" Target="https://www.sec.gov/Archives/edgar/data/1822479/000182247924000011/shc20231231_exhibitx97x1.htm" TargetMode="External"/><Relationship Id="rId59" Type="http://schemas.openxmlformats.org/officeDocument/2006/relationships/fontTable" Target="fontTable.xml"/><Relationship Id="rId6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97</Pages>
  <Words>112048</Words>
  <Characters>621506</Characters>
  <CharactersWithSpaces>729774</CharactersWithSpaces>
  <Paragraphs>6112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