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0001832387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Name of Issuer</w:t>
            </w:r>
          </w:p>
        </w:tc>
        <w:tc>
          <w:tcPr>
            <w:tcW w:w="3457" w:type="dxa"/>
            <w:tcBorders/>
            <w:vAlign w:val="center"/>
          </w:tcPr>
          <w:p>
            <w:pPr>
              <w:pStyle w:val="TableContents"/>
              <w:bidi w:val="0"/>
              <w:spacing w:before="0" w:after="0"/>
              <w:jc w:val="left"/>
              <w:rPr/>
            </w:pPr>
            <w:r>
              <w:rPr/>
              <w:t>Sotera Health Company</w:t>
            </w:r>
          </w:p>
        </w:tc>
      </w:tr>
      <w:tr>
        <w:trPr/>
        <w:tc>
          <w:tcPr>
            <w:tcW w:w="6748" w:type="dxa"/>
            <w:tcBorders/>
            <w:vAlign w:val="center"/>
          </w:tcPr>
          <w:p>
            <w:pPr>
              <w:pStyle w:val="TableContents"/>
              <w:bidi w:val="0"/>
              <w:spacing w:before="0" w:after="283"/>
              <w:jc w:val="left"/>
              <w:rPr/>
            </w:pPr>
            <w:r>
              <w:rPr/>
              <w:t>SEC File Number</w:t>
            </w:r>
          </w:p>
        </w:tc>
        <w:tc>
          <w:tcPr>
            <w:tcW w:w="3457" w:type="dxa"/>
            <w:tcBorders/>
            <w:vAlign w:val="center"/>
          </w:tcPr>
          <w:p>
            <w:pPr>
              <w:pStyle w:val="TableContents"/>
              <w:bidi w:val="0"/>
              <w:spacing w:before="0" w:after="0"/>
              <w:jc w:val="left"/>
              <w:rPr/>
            </w:pPr>
            <w:r>
              <w:rPr/>
              <w:t>001-39729</w:t>
            </w:r>
          </w:p>
        </w:tc>
      </w:tr>
      <w:tr>
        <w:trPr/>
        <w:tc>
          <w:tcPr>
            <w:tcW w:w="6748" w:type="dxa"/>
            <w:tcBorders/>
            <w:vAlign w:val="center"/>
          </w:tcPr>
          <w:p>
            <w:pPr>
              <w:pStyle w:val="TableContents"/>
              <w:bidi w:val="0"/>
              <w:spacing w:before="0" w:after="283"/>
              <w:jc w:val="left"/>
              <w:rPr/>
            </w:pPr>
            <w:r>
              <w:rPr/>
              <w:t>Address of Issuer</w:t>
            </w:r>
          </w:p>
        </w:tc>
        <w:tc>
          <w:tcPr>
            <w:tcW w:w="3457" w:type="dxa"/>
            <w:tcBorders/>
            <w:vAlign w:val="center"/>
          </w:tcPr>
          <w:p>
            <w:pPr>
              <w:pStyle w:val="TableContents"/>
              <w:bidi w:val="0"/>
              <w:spacing w:before="0" w:after="0"/>
              <w:jc w:val="left"/>
              <w:rPr/>
            </w:pPr>
            <w:r>
              <w:rPr/>
              <w:t>9100 South Hills Boulevard</w:t>
              <w:br/>
              <w:t>Suite 300</w:t>
              <w:br/>
              <w:t>Broadview Heights</w:t>
              <w:br/>
              <w:t xml:space="preserve">OHIO </w:t>
              <w:br/>
              <w:t>44147</w:t>
            </w:r>
          </w:p>
        </w:tc>
      </w:tr>
      <w:tr>
        <w:trPr/>
        <w:tc>
          <w:tcPr>
            <w:tcW w:w="6748" w:type="dxa"/>
            <w:tcBorders/>
            <w:vAlign w:val="center"/>
          </w:tcPr>
          <w:p>
            <w:pPr>
              <w:pStyle w:val="TableContents"/>
              <w:bidi w:val="0"/>
              <w:spacing w:before="0" w:after="283"/>
              <w:jc w:val="left"/>
              <w:rPr/>
            </w:pPr>
            <w:r>
              <w:rPr/>
              <w:t>Phone</w:t>
            </w:r>
          </w:p>
        </w:tc>
        <w:tc>
          <w:tcPr>
            <w:tcW w:w="3457" w:type="dxa"/>
            <w:tcBorders/>
            <w:vAlign w:val="center"/>
          </w:tcPr>
          <w:p>
            <w:pPr>
              <w:pStyle w:val="TableContents"/>
              <w:bidi w:val="0"/>
              <w:spacing w:before="0" w:after="0"/>
              <w:jc w:val="left"/>
              <w:rPr/>
            </w:pPr>
            <w:r>
              <w:rPr/>
              <w:t>440-262-1410</w:t>
            </w:r>
          </w:p>
        </w:tc>
      </w:tr>
      <w:tr>
        <w:trPr/>
        <w:tc>
          <w:tcPr>
            <w:tcW w:w="6748" w:type="dxa"/>
            <w:tcBorders/>
            <w:vAlign w:val="center"/>
          </w:tcPr>
          <w:p>
            <w:pPr>
              <w:pStyle w:val="TableContents"/>
              <w:bidi w:val="0"/>
              <w:spacing w:before="0" w:after="283"/>
              <w:jc w:val="left"/>
              <w:rPr/>
            </w:pPr>
            <w:r>
              <w:rPr/>
              <w:t>Name of Person for Whose Account the Securities are To Be Sold</w:t>
            </w:r>
          </w:p>
        </w:tc>
        <w:tc>
          <w:tcPr>
            <w:tcW w:w="3457" w:type="dxa"/>
            <w:tcBorders/>
            <w:vAlign w:val="center"/>
          </w:tcPr>
          <w:p>
            <w:pPr>
              <w:pStyle w:val="TableContents"/>
              <w:bidi w:val="0"/>
              <w:spacing w:before="0" w:after="0"/>
              <w:jc w:val="left"/>
              <w:rPr/>
            </w:pPr>
            <w:r>
              <w:rPr/>
              <w:t>Michael B. Petras,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8" w:type="dxa"/>
            <w:tcBorders/>
            <w:vAlign w:val="center"/>
          </w:tcPr>
          <w:p>
            <w:pPr>
              <w:pStyle w:val="TableContents"/>
              <w:bidi w:val="0"/>
              <w:spacing w:before="0" w:after="283"/>
              <w:jc w:val="left"/>
              <w:rPr/>
            </w:pPr>
            <w:r>
              <w:rPr/>
              <w:t>Relationship to Issuer</w:t>
            </w:r>
          </w:p>
        </w:tc>
        <w:tc>
          <w:tcPr>
            <w:tcW w:w="3457" w:type="dxa"/>
            <w:tcBorders/>
            <w:vAlign w:val="center"/>
          </w:tcPr>
          <w:p>
            <w:pPr>
              <w:pStyle w:val="TableContents"/>
              <w:bidi w:val="0"/>
              <w:spacing w:before="0" w:after="0"/>
              <w:jc w:val="left"/>
              <w:rPr/>
            </w:pPr>
            <w:r>
              <w:rPr/>
              <w:t>Chairman, 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1144515</w:t>
            </w:r>
          </w:p>
        </w:tc>
        <w:tc>
          <w:tcPr>
            <w:tcW w:w="1385" w:type="dxa"/>
            <w:tcBorders/>
            <w:vAlign w:val="center"/>
          </w:tcPr>
          <w:p>
            <w:pPr>
              <w:pStyle w:val="TableContents"/>
              <w:bidi w:val="0"/>
              <w:spacing w:before="0" w:after="283"/>
              <w:jc w:val="left"/>
              <w:rPr/>
            </w:pPr>
            <w:r>
              <w:rPr/>
              <w:t>21619888</w:t>
            </w:r>
          </w:p>
        </w:tc>
        <w:tc>
          <w:tcPr>
            <w:tcW w:w="1559" w:type="dxa"/>
            <w:tcBorders/>
            <w:vAlign w:val="center"/>
          </w:tcPr>
          <w:p>
            <w:pPr>
              <w:pStyle w:val="TableContents"/>
              <w:bidi w:val="0"/>
              <w:spacing w:before="0" w:after="283"/>
              <w:jc w:val="left"/>
              <w:rPr/>
            </w:pPr>
            <w:r>
              <w:rPr/>
              <w:t>285374795</w:t>
            </w:r>
          </w:p>
        </w:tc>
        <w:tc>
          <w:tcPr>
            <w:tcW w:w="1571" w:type="dxa"/>
            <w:tcBorders/>
            <w:vAlign w:val="center"/>
          </w:tcPr>
          <w:p>
            <w:pPr>
              <w:pStyle w:val="TableContents"/>
              <w:bidi w:val="0"/>
              <w:spacing w:before="0" w:after="283"/>
              <w:jc w:val="left"/>
              <w:rPr/>
            </w:pPr>
            <w:r>
              <w:rPr/>
              <w:t>08/17/2026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8"/>
        <w:gridCol w:w="1129"/>
        <w:gridCol w:w="1614"/>
        <w:gridCol w:w="1197"/>
        <w:gridCol w:w="528"/>
        <w:gridCol w:w="1129"/>
        <w:gridCol w:w="1189"/>
        <w:gridCol w:w="1071"/>
        <w:gridCol w:w="1210"/>
      </w:tblGrid>
      <w:tr>
        <w:trPr/>
        <w:tc>
          <w:tcPr>
            <w:tcW w:w="1138"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7"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8" w:type="dxa"/>
            <w:tcBorders/>
            <w:vAlign w:val="center"/>
          </w:tcPr>
          <w:p>
            <w:pPr>
              <w:pStyle w:val="TableContents"/>
              <w:bidi w:val="0"/>
              <w:spacing w:before="0" w:after="283"/>
              <w:jc w:val="left"/>
              <w:rPr/>
            </w:pPr>
            <w:r>
              <w:rPr/>
              <w:t>Common Stock</w:t>
            </w:r>
          </w:p>
        </w:tc>
        <w:tc>
          <w:tcPr>
            <w:tcW w:w="1129" w:type="dxa"/>
            <w:tcBorders/>
            <w:vAlign w:val="center"/>
          </w:tcPr>
          <w:p>
            <w:pPr>
              <w:pStyle w:val="TableContents"/>
              <w:bidi w:val="0"/>
              <w:spacing w:before="0" w:after="283"/>
              <w:jc w:val="left"/>
              <w:rPr/>
            </w:pPr>
            <w:r>
              <w:rPr/>
              <w:t>03/02/2026</w:t>
            </w:r>
          </w:p>
        </w:tc>
        <w:tc>
          <w:tcPr>
            <w:tcW w:w="1614" w:type="dxa"/>
            <w:tcBorders/>
            <w:vAlign w:val="center"/>
          </w:tcPr>
          <w:p>
            <w:pPr>
              <w:pStyle w:val="TableContents"/>
              <w:bidi w:val="0"/>
              <w:spacing w:before="0" w:after="283"/>
              <w:jc w:val="left"/>
              <w:rPr/>
            </w:pPr>
            <w:r>
              <w:rPr/>
              <w:t>Executive Compensation</w:t>
            </w:r>
          </w:p>
        </w:tc>
        <w:tc>
          <w:tcPr>
            <w:tcW w:w="1197"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241210</w:t>
            </w:r>
          </w:p>
        </w:tc>
        <w:tc>
          <w:tcPr>
            <w:tcW w:w="1071" w:type="dxa"/>
            <w:tcBorders/>
            <w:vAlign w:val="center"/>
          </w:tcPr>
          <w:p>
            <w:pPr>
              <w:pStyle w:val="TableContents"/>
              <w:bidi w:val="0"/>
              <w:spacing w:before="0" w:after="283"/>
              <w:jc w:val="left"/>
              <w:rPr/>
            </w:pPr>
            <w:r>
              <w:rPr/>
              <w:t>03/02/2026</w:t>
            </w:r>
          </w:p>
        </w:tc>
        <w:tc>
          <w:tcPr>
            <w:tcW w:w="1210" w:type="dxa"/>
            <w:tcBorders/>
            <w:vAlign w:val="center"/>
          </w:tcPr>
          <w:p>
            <w:pPr>
              <w:pStyle w:val="TableContents"/>
              <w:bidi w:val="0"/>
              <w:spacing w:before="0" w:after="283"/>
              <w:jc w:val="left"/>
              <w:rPr/>
            </w:pPr>
            <w:r>
              <w:rPr/>
              <w:t>N/A</w:t>
            </w:r>
          </w:p>
        </w:tc>
      </w:tr>
      <w:tr>
        <w:trPr/>
        <w:tc>
          <w:tcPr>
            <w:tcW w:w="1138" w:type="dxa"/>
            <w:tcBorders/>
            <w:vAlign w:val="center"/>
          </w:tcPr>
          <w:p>
            <w:pPr>
              <w:pStyle w:val="TableContents"/>
              <w:bidi w:val="0"/>
              <w:spacing w:before="0" w:after="283"/>
              <w:jc w:val="left"/>
              <w:rPr/>
            </w:pPr>
            <w:r>
              <w:rPr/>
              <w:t>Common Stock</w:t>
            </w:r>
          </w:p>
        </w:tc>
        <w:tc>
          <w:tcPr>
            <w:tcW w:w="1129" w:type="dxa"/>
            <w:tcBorders/>
            <w:vAlign w:val="center"/>
          </w:tcPr>
          <w:p>
            <w:pPr>
              <w:pStyle w:val="TableContents"/>
              <w:bidi w:val="0"/>
              <w:spacing w:before="0" w:after="283"/>
              <w:jc w:val="left"/>
              <w:rPr/>
            </w:pPr>
            <w:r>
              <w:rPr/>
              <w:t>06/17/2016</w:t>
            </w:r>
          </w:p>
        </w:tc>
        <w:tc>
          <w:tcPr>
            <w:tcW w:w="1614" w:type="dxa"/>
            <w:tcBorders/>
            <w:vAlign w:val="center"/>
          </w:tcPr>
          <w:p>
            <w:pPr>
              <w:pStyle w:val="TableContents"/>
              <w:bidi w:val="0"/>
              <w:spacing w:before="0" w:after="283"/>
              <w:jc w:val="left"/>
              <w:rPr/>
            </w:pPr>
            <w:r>
              <w:rPr/>
              <w:t>Executive Compensation</w:t>
            </w:r>
          </w:p>
        </w:tc>
        <w:tc>
          <w:tcPr>
            <w:tcW w:w="1197"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53305</w:t>
            </w:r>
          </w:p>
        </w:tc>
        <w:tc>
          <w:tcPr>
            <w:tcW w:w="1071" w:type="dxa"/>
            <w:tcBorders/>
            <w:vAlign w:val="center"/>
          </w:tcPr>
          <w:p>
            <w:pPr>
              <w:pStyle w:val="TableContents"/>
              <w:bidi w:val="0"/>
              <w:spacing w:before="0" w:after="283"/>
              <w:jc w:val="left"/>
              <w:rPr/>
            </w:pPr>
            <w:r>
              <w:rPr/>
              <w:t>06/17/2016</w:t>
            </w:r>
          </w:p>
        </w:tc>
        <w:tc>
          <w:tcPr>
            <w:tcW w:w="1210" w:type="dxa"/>
            <w:tcBorders/>
            <w:vAlign w:val="center"/>
          </w:tcPr>
          <w:p>
            <w:pPr>
              <w:pStyle w:val="TableContents"/>
              <w:bidi w:val="0"/>
              <w:spacing w:before="0" w:after="283"/>
              <w:jc w:val="left"/>
              <w:rPr/>
            </w:pPr>
            <w:r>
              <w:rPr/>
              <w:t>N/A</w:t>
            </w:r>
          </w:p>
        </w:tc>
      </w:tr>
      <w:tr>
        <w:trPr/>
        <w:tc>
          <w:tcPr>
            <w:tcW w:w="1138" w:type="dxa"/>
            <w:tcBorders/>
            <w:vAlign w:val="center"/>
          </w:tcPr>
          <w:p>
            <w:pPr>
              <w:pStyle w:val="TableContents"/>
              <w:bidi w:val="0"/>
              <w:spacing w:before="0" w:after="283"/>
              <w:jc w:val="left"/>
              <w:rPr/>
            </w:pPr>
            <w:r>
              <w:rPr/>
              <w:t>Common Stock</w:t>
            </w:r>
          </w:p>
        </w:tc>
        <w:tc>
          <w:tcPr>
            <w:tcW w:w="1129" w:type="dxa"/>
            <w:tcBorders/>
            <w:vAlign w:val="center"/>
          </w:tcPr>
          <w:p>
            <w:pPr>
              <w:pStyle w:val="TableContents"/>
              <w:bidi w:val="0"/>
              <w:spacing w:before="0" w:after="283"/>
              <w:jc w:val="left"/>
              <w:rPr/>
            </w:pPr>
            <w:r>
              <w:rPr/>
              <w:t>05/20/2025</w:t>
            </w:r>
          </w:p>
        </w:tc>
        <w:tc>
          <w:tcPr>
            <w:tcW w:w="1614" w:type="dxa"/>
            <w:tcBorders/>
            <w:vAlign w:val="center"/>
          </w:tcPr>
          <w:p>
            <w:pPr>
              <w:pStyle w:val="TableContents"/>
              <w:bidi w:val="0"/>
              <w:spacing w:before="0" w:after="283"/>
              <w:jc w:val="left"/>
              <w:rPr/>
            </w:pPr>
            <w:r>
              <w:rPr/>
              <w:t>Transfer</w:t>
            </w:r>
          </w:p>
        </w:tc>
        <w:tc>
          <w:tcPr>
            <w:tcW w:w="1197" w:type="dxa"/>
            <w:tcBorders/>
            <w:vAlign w:val="center"/>
          </w:tcPr>
          <w:p>
            <w:pPr>
              <w:pStyle w:val="TableContents"/>
              <w:bidi w:val="0"/>
              <w:spacing w:before="0" w:after="283"/>
              <w:jc w:val="left"/>
              <w:rPr/>
            </w:pPr>
            <w:r>
              <w:rPr/>
              <w:t>Michael B. Petras, Jr., who acquired the shares on June 17, 2016</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850000</w:t>
            </w:r>
          </w:p>
        </w:tc>
        <w:tc>
          <w:tcPr>
            <w:tcW w:w="1071" w:type="dxa"/>
            <w:tcBorders/>
            <w:vAlign w:val="center"/>
          </w:tcPr>
          <w:p>
            <w:pPr>
              <w:pStyle w:val="TableContents"/>
              <w:bidi w:val="0"/>
              <w:spacing w:before="0" w:after="283"/>
              <w:jc w:val="left"/>
              <w:rPr/>
            </w:pPr>
            <w:r>
              <w:rPr/>
              <w:t>06/17/2016</w:t>
            </w:r>
          </w:p>
        </w:tc>
        <w:tc>
          <w:tcPr>
            <w:tcW w:w="121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22"/>
        <w:gridCol w:w="8783"/>
      </w:tblGrid>
      <w:tr>
        <w:trPr/>
        <w:tc>
          <w:tcPr>
            <w:tcW w:w="1422" w:type="dxa"/>
            <w:tcBorders/>
            <w:vAlign w:val="center"/>
          </w:tcPr>
          <w:p>
            <w:pPr>
              <w:pStyle w:val="TableContents"/>
              <w:bidi w:val="0"/>
              <w:spacing w:before="0" w:after="283"/>
              <w:jc w:val="left"/>
              <w:rPr/>
            </w:pPr>
            <w:r>
              <w:rPr/>
              <w:t>Remarks</w:t>
            </w:r>
          </w:p>
        </w:tc>
        <w:tc>
          <w:tcPr>
            <w:tcW w:w="8783" w:type="dxa"/>
            <w:tcBorders/>
            <w:vAlign w:val="center"/>
          </w:tcPr>
          <w:p>
            <w:pPr>
              <w:pStyle w:val="TableContents"/>
              <w:bidi w:val="0"/>
              <w:spacing w:before="0" w:after="0"/>
              <w:jc w:val="left"/>
              <w:rPr/>
            </w:pPr>
            <w:r>
              <w:rPr/>
              <w:t>Of the shares filed today, 294,515 shares will be sold by Michael B. Petras, Jr. and 850,000 shares will be sold by the May 2025 Michael B. Petras, Jr. Grantor Retained Annuity Trust, Michael B. Petras, Jr. as Trustee..</w:t>
            </w:r>
          </w:p>
        </w:tc>
      </w:tr>
      <w:tr>
        <w:trPr/>
        <w:tc>
          <w:tcPr>
            <w:tcW w:w="1422" w:type="dxa"/>
            <w:tcBorders/>
            <w:vAlign w:val="center"/>
          </w:tcPr>
          <w:p>
            <w:pPr>
              <w:pStyle w:val="TableContents"/>
              <w:bidi w:val="0"/>
              <w:spacing w:before="0" w:after="283"/>
              <w:jc w:val="left"/>
              <w:rPr/>
            </w:pPr>
            <w:r>
              <w:rPr/>
              <w:t>Date of Notice</w:t>
            </w:r>
          </w:p>
        </w:tc>
        <w:tc>
          <w:tcPr>
            <w:tcW w:w="8783"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22" w:type="dxa"/>
            <w:tcBorders/>
            <w:vAlign w:val="center"/>
          </w:tcPr>
          <w:p>
            <w:pPr>
              <w:pStyle w:val="TableContents"/>
              <w:bidi w:val="0"/>
              <w:spacing w:before="0" w:after="283"/>
              <w:jc w:val="left"/>
              <w:rPr/>
            </w:pPr>
            <w:r>
              <w:rPr/>
              <w:t>Signature</w:t>
            </w:r>
          </w:p>
        </w:tc>
        <w:tc>
          <w:tcPr>
            <w:tcW w:w="8783" w:type="dxa"/>
            <w:tcBorders/>
            <w:vAlign w:val="center"/>
          </w:tcPr>
          <w:p>
            <w:pPr>
              <w:pStyle w:val="TableContents"/>
              <w:bidi w:val="0"/>
              <w:spacing w:before="0" w:after="0"/>
              <w:jc w:val="left"/>
              <w:rPr/>
            </w:pPr>
            <w:r>
              <w:rPr/>
              <w:t>/s/ J.P. Morgan Securities LLC as agent and attorney-in-fact for Michael B. Petras,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3324</Characters>
  <CharactersWithSpaces>3912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