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59"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2025</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81"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21" w:lineRule="exact"/>
        <w:rPr>
          <w:sz w:val="24"/>
          <w:szCs w:val="24"/>
          <w:color w:val="auto"/>
        </w:rPr>
      </w:pPr>
    </w:p>
    <w:p>
      <w:pPr>
        <w:ind w:left="4220"/>
        <w:spacing w:after="0"/>
        <w:tabs>
          <w:tab w:leader="none" w:pos="68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001-39729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81915</wp:posOffset>
            </wp:positionV>
            <wp:extent cx="128587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SOTERA HEALTH COMPANY</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780" w:type="dxa"/>
            <w:vAlign w:val="bottom"/>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000" w:type="dxa"/>
            <w:vAlign w:val="bottom"/>
          </w:tcPr>
          <w:p>
            <w:pPr>
              <w:spacing w:after="0"/>
              <w:rPr>
                <w:sz w:val="18"/>
                <w:szCs w:val="18"/>
                <w:color w:val="auto"/>
              </w:rPr>
            </w:pPr>
          </w:p>
        </w:tc>
        <w:tc>
          <w:tcPr>
            <w:tcW w:w="4440" w:type="dxa"/>
            <w:vAlign w:val="bottom"/>
          </w:tcPr>
          <w:p>
            <w:pPr>
              <w:jc w:val="right"/>
              <w:ind w:right="2239"/>
              <w:spacing w:after="0"/>
              <w:rPr>
                <w:sz w:val="20"/>
                <w:szCs w:val="20"/>
                <w:color w:val="auto"/>
              </w:rPr>
            </w:pPr>
            <w:r>
              <w:rPr>
                <w:rFonts w:ascii="Times New Roman" w:cs="Times New Roman" w:eastAsia="Times New Roman" w:hAnsi="Times New Roman"/>
                <w:sz w:val="16"/>
                <w:szCs w:val="16"/>
                <w:b w:val="1"/>
                <w:bCs w:val="1"/>
                <w:color w:val="auto"/>
              </w:rPr>
              <w:t>47-3531161</w:t>
            </w:r>
          </w:p>
        </w:tc>
      </w:tr>
      <w:tr>
        <w:trPr>
          <w:trHeight w:val="243"/>
        </w:trPr>
        <w:tc>
          <w:tcPr>
            <w:tcW w:w="478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000" w:type="dxa"/>
            <w:vAlign w:val="bottom"/>
          </w:tcPr>
          <w:p>
            <w:pPr>
              <w:spacing w:after="0"/>
              <w:rPr>
                <w:sz w:val="21"/>
                <w:szCs w:val="21"/>
                <w:color w:val="auto"/>
              </w:rPr>
            </w:pPr>
          </w:p>
        </w:tc>
        <w:tc>
          <w:tcPr>
            <w:tcW w:w="4440" w:type="dxa"/>
            <w:vAlign w:val="bottom"/>
          </w:tcPr>
          <w:p>
            <w:pPr>
              <w:jc w:val="center"/>
              <w:ind w:right="89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65"/>
        </w:trPr>
        <w:tc>
          <w:tcPr>
            <w:tcW w:w="4780" w:type="dxa"/>
            <w:vAlign w:val="bottom"/>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9100 South Hills Blvd, Suite 300</w:t>
            </w:r>
          </w:p>
        </w:tc>
        <w:tc>
          <w:tcPr>
            <w:tcW w:w="20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43"/>
        </w:trPr>
        <w:tc>
          <w:tcPr>
            <w:tcW w:w="4780" w:type="dxa"/>
            <w:vAlign w:val="bottom"/>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Broadview Heights, Ohio</w:t>
            </w:r>
          </w:p>
        </w:tc>
        <w:tc>
          <w:tcPr>
            <w:tcW w:w="2000" w:type="dxa"/>
            <w:vAlign w:val="bottom"/>
          </w:tcPr>
          <w:p>
            <w:pPr>
              <w:spacing w:after="0"/>
              <w:rPr>
                <w:sz w:val="21"/>
                <w:szCs w:val="21"/>
                <w:color w:val="auto"/>
              </w:rPr>
            </w:pPr>
          </w:p>
        </w:tc>
        <w:tc>
          <w:tcPr>
            <w:tcW w:w="4440" w:type="dxa"/>
            <w:vAlign w:val="bottom"/>
          </w:tcPr>
          <w:p>
            <w:pPr>
              <w:jc w:val="right"/>
              <w:ind w:right="2419"/>
              <w:spacing w:after="0"/>
              <w:rPr>
                <w:sz w:val="20"/>
                <w:szCs w:val="20"/>
                <w:color w:val="auto"/>
              </w:rPr>
            </w:pPr>
            <w:r>
              <w:rPr>
                <w:rFonts w:ascii="Times New Roman" w:cs="Times New Roman" w:eastAsia="Times New Roman" w:hAnsi="Times New Roman"/>
                <w:sz w:val="16"/>
                <w:szCs w:val="16"/>
                <w:b w:val="1"/>
                <w:bCs w:val="1"/>
                <w:color w:val="auto"/>
              </w:rPr>
              <w:t>44147</w:t>
            </w:r>
          </w:p>
        </w:tc>
      </w:tr>
      <w:tr>
        <w:trPr>
          <w:trHeight w:val="243"/>
        </w:trPr>
        <w:tc>
          <w:tcPr>
            <w:tcW w:w="478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000" w:type="dxa"/>
            <w:vAlign w:val="bottom"/>
          </w:tcPr>
          <w:p>
            <w:pPr>
              <w:spacing w:after="0"/>
              <w:rPr>
                <w:sz w:val="21"/>
                <w:szCs w:val="21"/>
                <w:color w:val="auto"/>
              </w:rPr>
            </w:pPr>
          </w:p>
        </w:tc>
        <w:tc>
          <w:tcPr>
            <w:tcW w:w="4440" w:type="dxa"/>
            <w:vAlign w:val="bottom"/>
          </w:tcPr>
          <w:p>
            <w:pPr>
              <w:jc w:val="center"/>
              <w:ind w:right="879"/>
              <w:spacing w:after="0"/>
              <w:rPr>
                <w:sz w:val="20"/>
                <w:szCs w:val="20"/>
                <w:color w:val="auto"/>
              </w:rPr>
            </w:pPr>
            <w:r>
              <w:rPr>
                <w:rFonts w:ascii="Times New Roman" w:cs="Times New Roman" w:eastAsia="Times New Roman" w:hAnsi="Times New Roman"/>
                <w:sz w:val="16"/>
                <w:szCs w:val="16"/>
                <w:color w:val="auto"/>
              </w:rPr>
              <w:t>(Zip Code)</w:t>
            </w:r>
          </w:p>
        </w:tc>
      </w:tr>
      <w:tr>
        <w:trPr>
          <w:trHeight w:val="365"/>
        </w:trPr>
        <w:tc>
          <w:tcPr>
            <w:tcW w:w="4780" w:type="dxa"/>
            <w:vAlign w:val="bottom"/>
          </w:tcPr>
          <w:p>
            <w:pPr>
              <w:spacing w:after="0"/>
              <w:rPr>
                <w:sz w:val="24"/>
                <w:szCs w:val="24"/>
                <w:color w:val="auto"/>
              </w:rPr>
            </w:pPr>
          </w:p>
        </w:tc>
        <w:tc>
          <w:tcPr>
            <w:tcW w:w="20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(440) 262-1410</w:t>
            </w:r>
          </w:p>
        </w:tc>
        <w:tc>
          <w:tcPr>
            <w:tcW w:w="4440" w:type="dxa"/>
            <w:vAlign w:val="bottom"/>
          </w:tcPr>
          <w:p>
            <w:pPr>
              <w:spacing w:after="0"/>
              <w:rPr>
                <w:sz w:val="24"/>
                <w:szCs w:val="24"/>
                <w:color w:val="auto"/>
              </w:rPr>
            </w:pPr>
          </w:p>
        </w:tc>
      </w:tr>
      <w:tr>
        <w:trPr>
          <w:trHeight w:val="243"/>
        </w:trPr>
        <w:tc>
          <w:tcPr>
            <w:tcW w:w="112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418"/>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0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64"/>
        </w:trPr>
        <w:tc>
          <w:tcPr>
            <w:tcW w:w="47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0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4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3"/>
        </w:trPr>
        <w:tc>
          <w:tcPr>
            <w:tcW w:w="478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200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7"/>
              </w:rPr>
              <w:t>SHC</w:t>
            </w:r>
          </w:p>
        </w:tc>
        <w:tc>
          <w:tcPr>
            <w:tcW w:w="44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276"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w:t>
      </w:r>
    </w:p>
    <w:p>
      <w:pPr>
        <w:spacing w:after="0" w:line="182"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42" w:lineRule="exact"/>
        <w:rPr>
          <w:sz w:val="24"/>
          <w:szCs w:val="24"/>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1860" w:type="dxa"/>
        <w:tblCellMar>
          <w:top w:w="0" w:type="dxa"/>
          <w:left w:w="0" w:type="dxa"/>
          <w:bottom w:w="0" w:type="dxa"/>
          <w:right w:w="0" w:type="dxa"/>
        </w:tblCellMar>
      </w:tblPr>
      <w:tr>
        <w:trPr>
          <w:trHeight w:val="243"/>
        </w:trPr>
        <w:tc>
          <w:tcPr>
            <w:tcW w:w="2460" w:type="dxa"/>
            <w:vAlign w:val="bottom"/>
          </w:tcPr>
          <w:p>
            <w:pPr>
              <w:jc w:val="center"/>
              <w:ind w:right="919"/>
              <w:spacing w:after="0"/>
              <w:rPr>
                <w:sz w:val="20"/>
                <w:szCs w:val="20"/>
                <w:color w:val="auto"/>
              </w:rPr>
            </w:pPr>
            <w:r>
              <w:rPr>
                <w:rFonts w:ascii="Times New Roman" w:cs="Times New Roman" w:eastAsia="Times New Roman" w:hAnsi="Times New Roman"/>
                <w:sz w:val="16"/>
                <w:szCs w:val="16"/>
                <w:color w:val="auto"/>
              </w:rPr>
              <w:t>Large accelerated filer</w:t>
            </w:r>
          </w:p>
        </w:tc>
        <w:tc>
          <w:tcPr>
            <w:tcW w:w="206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460" w:type="dxa"/>
            <w:vAlign w:val="bottom"/>
          </w:tcPr>
          <w:p>
            <w:pPr>
              <w:jc w:val="center"/>
              <w:ind w:right="919"/>
              <w:spacing w:after="0"/>
              <w:rPr>
                <w:sz w:val="20"/>
                <w:szCs w:val="20"/>
                <w:color w:val="auto"/>
              </w:rPr>
            </w:pPr>
            <w:r>
              <w:rPr>
                <w:rFonts w:ascii="Times New Roman" w:cs="Times New Roman" w:eastAsia="Times New Roman" w:hAnsi="Times New Roman"/>
                <w:sz w:val="16"/>
                <w:szCs w:val="16"/>
                <w:color w:val="auto"/>
              </w:rPr>
              <w:t>Non-accelerated filer</w:t>
            </w:r>
          </w:p>
        </w:tc>
        <w:tc>
          <w:tcPr>
            <w:tcW w:w="206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4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50"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July 29, 2025, there were 284,046,606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TABLE OF CONTENTS -</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30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w w:val="99"/>
              </w:rPr>
              <w:t>Part I—FINANCIAL INFORMATION</w:t>
            </w:r>
          </w:p>
        </w:tc>
        <w:tc>
          <w:tcPr>
            <w:tcW w:w="7980" w:type="dxa"/>
            <w:vAlign w:val="bottom"/>
            <w:gridSpan w:val="3"/>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7980" w:type="dxa"/>
            <w:vAlign w:val="bottom"/>
            <w:gridSpan w:val="3"/>
          </w:tcPr>
          <w:p>
            <w:pPr>
              <w:spacing w:after="0"/>
              <w:rPr>
                <w:sz w:val="17"/>
                <w:szCs w:val="17"/>
                <w:color w:val="auto"/>
              </w:rPr>
            </w:pPr>
          </w:p>
        </w:tc>
        <w:tc>
          <w:tcPr>
            <w:tcW w:w="20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5</w:t>
            </w: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0000FF"/>
            </w:tcBorders>
            <w:gridSpan w:val="1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4.</w:t>
            </w:r>
          </w:p>
        </w:tc>
        <w:tc>
          <w:tcPr>
            <w:tcW w:w="10260" w:type="dxa"/>
            <w:vAlign w:val="bottom"/>
            <w:gridSpan w:val="1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102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Part II—OTHER INFORMATION</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0000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1400" w:type="dxa"/>
            <w:vAlign w:val="bottom"/>
            <w:tcBorders>
              <w:bottom w:val="single" w:sz="8" w:color="0000FF"/>
            </w:tcBorders>
            <w:gridSpan w:val="5"/>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886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FF"/>
              </w:rPr>
              <w:t>Item 1A. Risk Factors.</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0000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5.</w:t>
            </w:r>
          </w:p>
        </w:tc>
        <w:tc>
          <w:tcPr>
            <w:tcW w:w="1340" w:type="dxa"/>
            <w:vAlign w:val="bottom"/>
            <w:tcBorders>
              <w:bottom w:val="single" w:sz="8" w:color="0000FF"/>
            </w:tcBorders>
            <w:gridSpan w:val="4"/>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920" w:type="dxa"/>
            <w:vAlign w:val="bottom"/>
            <w:tcBorders>
              <w:bottom w:val="single" w:sz="8" w:color="CCEEFF"/>
            </w:tcBorders>
            <w:gridSpan w:val="8"/>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0000FF"/>
              </w:rPr>
              <w:t>Item 6.</w:t>
            </w:r>
          </w:p>
        </w:tc>
        <w:tc>
          <w:tcPr>
            <w:tcW w:w="10260" w:type="dxa"/>
            <w:vAlign w:val="bottom"/>
            <w:gridSpan w:val="12"/>
          </w:tcPr>
          <w:p>
            <w:pPr>
              <w:ind w:left="20"/>
              <w:spacing w:after="0" w:line="202" w:lineRule="exact"/>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0" w:type="dxa"/>
            <w:vAlign w:val="bottom"/>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1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shd w:val="clear" w:color="auto" w:fill="CCEEFF"/>
          </w:tcPr>
          <w:p>
            <w:pPr>
              <w:spacing w:after="0"/>
              <w:rPr>
                <w:sz w:val="21"/>
                <w:szCs w:val="21"/>
                <w:color w:val="auto"/>
              </w:rPr>
            </w:pPr>
          </w:p>
        </w:tc>
      </w:tr>
      <w:tr>
        <w:trPr>
          <w:trHeight w:val="1019"/>
        </w:trPr>
        <w:tc>
          <w:tcPr>
            <w:tcW w:w="2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2100" w:type="dxa"/>
            <w:vAlign w:val="bottom"/>
            <w:tcBorders>
              <w:top w:val="single" w:sz="8" w:color="CCEEFF"/>
              <w:bottom w:val="single" w:sz="8" w:color="9A9A9A"/>
            </w:tcBorders>
          </w:tcPr>
          <w:p>
            <w:pPr>
              <w:spacing w:after="0"/>
              <w:rPr>
                <w:sz w:val="24"/>
                <w:szCs w:val="24"/>
                <w:color w:val="auto"/>
              </w:rPr>
            </w:pPr>
          </w:p>
        </w:tc>
        <w:tc>
          <w:tcPr>
            <w:tcW w:w="2100" w:type="dxa"/>
            <w:vAlign w:val="bottom"/>
            <w:tcBorders>
              <w:top w:val="single" w:sz="8" w:color="CCEEFF"/>
              <w:bottom w:val="single" w:sz="8" w:color="9A9A9A"/>
            </w:tcBorders>
          </w:tcPr>
          <w:p>
            <w:pPr>
              <w:spacing w:after="0"/>
              <w:rPr>
                <w:sz w:val="24"/>
                <w:szCs w:val="24"/>
                <w:color w:val="auto"/>
              </w:rPr>
            </w:pPr>
          </w:p>
        </w:tc>
        <w:tc>
          <w:tcPr>
            <w:tcW w:w="378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187" w:lineRule="exact"/>
        <w:rPr>
          <w:sz w:val="20"/>
          <w:szCs w:val="20"/>
          <w:color w:val="auto"/>
        </w:rPr>
      </w:pPr>
    </w:p>
    <w:p>
      <w:pPr>
        <w:ind w:left="980" w:right="120" w:hanging="324"/>
        <w:spacing w:after="0" w:line="257"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the availability or supply of, or increases in the price of, ethylene oxide (“EO”), Cobalt-60 (“Co-60”) or our other direct materials, services and supplies, including as a result of geopolitical instability and/or sanctions against Russia by the United States, Canada, United Kingdom and/or the European Union;</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changes in environmental, health and safety regulations or preferences, and general economic, social and business conditions;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risks associated with the use, storage, transportation and disposal of potentially hazardous materials such as EO and Co-60;</w:t>
      </w:r>
    </w:p>
    <w:p>
      <w:pPr>
        <w:spacing w:after="0" w:line="9" w:lineRule="exact"/>
        <w:rPr>
          <w:rFonts w:ascii="Times New Roman" w:cs="Times New Roman" w:eastAsia="Times New Roman" w:hAnsi="Times New Roman"/>
          <w:sz w:val="18"/>
          <w:szCs w:val="18"/>
          <w:color w:val="auto"/>
        </w:rPr>
      </w:pPr>
    </w:p>
    <w:p>
      <w:pPr>
        <w:ind w:left="980" w:right="22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outcome of current and future legal proceedings and liability claims, including litigation related to the use, emissions and releases of EO from our facilities in California, Georgia, Illinois and New Mexico and the possibility that additional claims will be made in the future relating to these or other facilities;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the conditions for settlement of the EO claims related to our former facility in Willowbrook, Illinois;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our failure to properly perform services and potential product liability claims, recalls, penalties and reputational harm;</w:t>
      </w:r>
    </w:p>
    <w:p>
      <w:pPr>
        <w:spacing w:after="0" w:line="9" w:lineRule="exact"/>
        <w:rPr>
          <w:rFonts w:ascii="Times New Roman" w:cs="Times New Roman" w:eastAsia="Times New Roman" w:hAnsi="Times New Roman"/>
          <w:sz w:val="18"/>
          <w:szCs w:val="18"/>
          <w:color w:val="auto"/>
        </w:rPr>
      </w:pPr>
    </w:p>
    <w:p>
      <w:pPr>
        <w:ind w:left="980" w:right="20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extensive regulatory requirements to which we are subject, the related costs, and any failures to receive or maintain, or delays in receiving, required clearances or approvals;</w:t>
      </w: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industry trends;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we face;</w:t>
      </w:r>
    </w:p>
    <w:p>
      <w:pPr>
        <w:spacing w:after="0" w:line="9" w:lineRule="exact"/>
        <w:rPr>
          <w:rFonts w:ascii="Times New Roman" w:cs="Times New Roman" w:eastAsia="Times New Roman" w:hAnsi="Times New Roman"/>
          <w:sz w:val="18"/>
          <w:szCs w:val="18"/>
          <w:color w:val="auto"/>
        </w:rPr>
      </w:pPr>
    </w:p>
    <w:p>
      <w:pPr>
        <w:ind w:left="980" w:right="60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changes, including inflationary trends and the impact of tariffs, that impact our long-term supply contracts with variable price clauses and increase our cost of revenues;</w:t>
      </w: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continuity hazards, including supply chain disruptions and other risks associated with our operations;</w:t>
      </w:r>
    </w:p>
    <w:p>
      <w:pPr>
        <w:spacing w:after="0" w:line="9" w:lineRule="exact"/>
        <w:rPr>
          <w:rFonts w:ascii="Times New Roman" w:cs="Times New Roman" w:eastAsia="Times New Roman" w:hAnsi="Times New Roman"/>
          <w:sz w:val="18"/>
          <w:szCs w:val="18"/>
          <w:color w:val="auto"/>
        </w:rPr>
      </w:pPr>
    </w:p>
    <w:p>
      <w:pPr>
        <w:ind w:left="980" w:right="48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doing business internationally, including global and regional economic and political instability and compliance with various applicable laws and potentially inconsistent laws and regulations in multiple jurisdictions;</w:t>
      </w:r>
    </w:p>
    <w:p>
      <w:pPr>
        <w:ind w:left="980" w:right="10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capacity at existing facilities, build new facilities in a timely and cost-effective manner and renew leases for our leased facilities;</w:t>
      </w: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health events or environmental events;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unauthorized data disclosures, and our dependence on information technology systems;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pursue strategic transactions, find suitable acquisition targets, or integrate strategic acquisitions into our business successfully;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 over financial reporting;</w:t>
      </w:r>
    </w:p>
    <w:p>
      <w:pPr>
        <w:spacing w:after="0" w:line="9" w:lineRule="exact"/>
        <w:rPr>
          <w:rFonts w:ascii="Times New Roman" w:cs="Times New Roman" w:eastAsia="Times New Roman" w:hAnsi="Times New Roman"/>
          <w:sz w:val="18"/>
          <w:szCs w:val="18"/>
          <w:color w:val="auto"/>
        </w:rPr>
      </w:pPr>
    </w:p>
    <w:p>
      <w:pPr>
        <w:ind w:left="980" w:right="26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intellectual property to maintain our competitive position and the risk of claims from third parties that we have infringed or misappropriated, or are infringing or misappropriating, their intellectual property rights;</w:t>
      </w:r>
    </w:p>
    <w:p>
      <w:pPr>
        <w:ind w:left="980" w:right="64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rapidly evolving data privacy and security laws and regulations in various jurisdictions and any ineffective compliance efforts with such laws and regulations;</w:t>
      </w: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profitability in future periods;</w:t>
      </w:r>
    </w:p>
    <w:p>
      <w:pPr>
        <w:spacing w:after="0" w:line="9" w:lineRule="exact"/>
        <w:rPr>
          <w:rFonts w:ascii="Times New Roman" w:cs="Times New Roman" w:eastAsia="Times New Roman" w:hAnsi="Times New Roman"/>
          <w:sz w:val="18"/>
          <w:szCs w:val="18"/>
          <w:color w:val="auto"/>
        </w:rPr>
      </w:pPr>
    </w:p>
    <w:p>
      <w:pPr>
        <w:ind w:left="980" w:right="20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our goodwill and other intangible assets with indefinite lives, as well as other long-lived assets and intangible assets with definite lives;</w:t>
      </w: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unionization efforts and labor regulations in countries in which we operate;</w:t>
      </w:r>
    </w:p>
    <w:p>
      <w:pPr>
        <w:spacing w:after="0" w:line="9" w:lineRule="exact"/>
        <w:rPr>
          <w:rFonts w:ascii="Times New Roman" w:cs="Times New Roman" w:eastAsia="Times New Roman" w:hAnsi="Times New Roman"/>
          <w:sz w:val="18"/>
          <w:szCs w:val="18"/>
          <w:color w:val="auto"/>
        </w:rPr>
      </w:pPr>
    </w:p>
    <w:p>
      <w:pPr>
        <w:ind w:left="980" w:right="42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to our tax positions in U.S. or non-U.S. jurisdictions or the interpretation and application of U.S. tax legislation or other changes in U.S. or non-U.S. taxation of our operations; and</w:t>
      </w:r>
    </w:p>
    <w:p>
      <w:pPr>
        <w:ind w:left="980" w:right="40" w:hanging="324"/>
        <w:spacing w:after="0" w:line="253"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agreements governing our indebtedness.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above factors, as well as the factors discussed elsewhere in this Quarterly Report on Form 10-Q, including under Part II, Item 1A, “Risk Factors,” as well as Part I, Item 1A, “Risk Factors” of our Annual Report on Form 10-K for the year ended December 31, 2024 (the “2024 10-K”).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“Sotera Health,” “Company,” “we,” “us,” and “our” in this Quarterly Report on Form 10-Q refer to Sotera Health Company, a Delaware corporation, and, where appropriate, its subsidiaries on a consolidated basis.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1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9"/>
                <w:szCs w:val="19"/>
                <w:color w:val="auto"/>
              </w:rPr>
            </w:pPr>
          </w:p>
        </w:tc>
        <w:tc>
          <w:tcPr>
            <w:tcW w:w="13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332,437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277,242</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Restricted cash short-term</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 net of allowance for uncollectible accounts of $2,323 and $2,532, respectively</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136,557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140,327</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Inventories, net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59,949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49,158</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66,024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51,031</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taxes receivable</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11,373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6,656</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608,175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526,037</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1,080,399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1,036,892</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31,524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27,551</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4,466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2,865</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Post-retirement assets</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48,272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42,524</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39,282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37,053</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300,109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317,653</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1,104,502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1,081,073</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3,216,729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3,071,648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2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63,660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55,098</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143,542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90,463</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revenues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11,526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15,100</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14,820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14,803</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Current portion of finance lease obligations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3,237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2,923</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portion of operating lease obligations</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5,598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5,056</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taxes payable</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3,937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7,559</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246,320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191,002</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2,202,651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2,208,100</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obligations, less current portion</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95,420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95,286</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obligations, less current portion</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27,988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24,465</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 retirement obligations</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52,150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49,319</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lease income</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17,397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16,784</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Post-retirement obligations</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8,302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7,863</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4,418</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48,068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69,500</w:t>
            </w:r>
          </w:p>
        </w:tc>
        <w:tc>
          <w:tcPr>
            <w:tcW w:w="0" w:type="dxa"/>
            <w:vAlign w:val="bottom"/>
          </w:tcPr>
          <w:p>
            <w:pPr>
              <w:spacing w:after="0"/>
              <w:rPr>
                <w:sz w:val="1"/>
                <w:szCs w:val="1"/>
                <w:color w:val="auto"/>
              </w:rPr>
            </w:pPr>
          </w:p>
        </w:tc>
      </w:tr>
      <w:tr>
        <w:trPr>
          <w:trHeight w:val="186"/>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2,705,446</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2,666,737</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See Commitments and contingencies note</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Common stock, with $0.01 par value, 1,200,000 shares authorized; 286,037 shares issued at June 30, 2025 and December 31, 2024</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0" w:type="dxa"/>
            <w:vAlign w:val="bottom"/>
          </w:tcPr>
          <w:p>
            <w:pPr>
              <w:spacing w:after="0"/>
              <w:rPr>
                <w:sz w:val="1"/>
                <w:szCs w:val="1"/>
                <w:color w:val="auto"/>
              </w:rPr>
            </w:pPr>
          </w:p>
        </w:tc>
      </w:tr>
      <w:tr>
        <w:trPr>
          <w:trHeight w:val="180"/>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Preferred stock, with $0.01 par value, 120,000 shares authorized; no shares issued at June 30, 2025 and</w:t>
            </w:r>
          </w:p>
        </w:tc>
        <w:tc>
          <w:tcPr>
            <w:tcW w:w="200" w:type="dxa"/>
            <w:vAlign w:val="bottom"/>
          </w:tcPr>
          <w:p>
            <w:pPr>
              <w:spacing w:after="0"/>
              <w:rPr>
                <w:sz w:val="15"/>
                <w:szCs w:val="15"/>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2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December 31, 2024</w:t>
            </w: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Treasury stock, at cost (1,991 and 2,571 shares at June 30, 2025 and December 31, 2024, respectively)</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(19,038)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(23,434)</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1,251,089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1,243,778</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Retained deficit</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(615,340)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(610,042)</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(108,288)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(208,251)</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511,283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404,911</w:t>
            </w:r>
          </w:p>
        </w:tc>
        <w:tc>
          <w:tcPr>
            <w:tcW w:w="0" w:type="dxa"/>
            <w:vAlign w:val="bottom"/>
          </w:tcPr>
          <w:p>
            <w:pPr>
              <w:spacing w:after="0"/>
              <w:rPr>
                <w:sz w:val="1"/>
                <w:szCs w:val="1"/>
                <w:color w:val="auto"/>
              </w:rPr>
            </w:pPr>
          </w:p>
        </w:tc>
      </w:tr>
      <w:tr>
        <w:trPr>
          <w:trHeight w:val="218"/>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3,216,729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3,071,648</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ectPr>
          <w:pgSz w:w="11900" w:h="16838" w:orient="portrait"/>
          <w:cols w:equalWidth="0" w:num="1">
            <w:col w:w="11240"/>
          </w:cols>
          <w:pgMar w:left="320" w:top="157" w:right="339" w:bottom="1159"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159"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11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24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6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Service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257,244</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237,756</w:t>
            </w:r>
          </w:p>
        </w:tc>
        <w:tc>
          <w:tcPr>
            <w:tcW w:w="16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481,184</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464,237</w:t>
            </w:r>
          </w:p>
        </w:tc>
        <w:tc>
          <w:tcPr>
            <w:tcW w:w="0" w:type="dxa"/>
            <w:vAlign w:val="bottom"/>
          </w:tcPr>
          <w:p>
            <w:pPr>
              <w:spacing w:after="0"/>
              <w:rPr>
                <w:sz w:val="1"/>
                <w:szCs w:val="1"/>
                <w:color w:val="auto"/>
              </w:rPr>
            </w:pPr>
          </w:p>
        </w:tc>
      </w:tr>
      <w:tr>
        <w:trPr>
          <w:trHeight w:val="246"/>
        </w:trPr>
        <w:tc>
          <w:tcPr>
            <w:tcW w:w="6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Product</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37,097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38,838</w:t>
            </w:r>
          </w:p>
        </w:tc>
        <w:tc>
          <w:tcPr>
            <w:tcW w:w="1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67,680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60,533</w:t>
            </w:r>
          </w:p>
        </w:tc>
        <w:tc>
          <w:tcPr>
            <w:tcW w:w="0" w:type="dxa"/>
            <w:vAlign w:val="bottom"/>
          </w:tcPr>
          <w:p>
            <w:pPr>
              <w:spacing w:after="0"/>
              <w:rPr>
                <w:sz w:val="1"/>
                <w:szCs w:val="1"/>
                <w:color w:val="auto"/>
              </w:rPr>
            </w:pPr>
          </w:p>
        </w:tc>
      </w:tr>
      <w:tr>
        <w:trPr>
          <w:trHeight w:val="233"/>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revenues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294,341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276,594</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548,864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524,770</w:t>
            </w:r>
          </w:p>
        </w:tc>
        <w:tc>
          <w:tcPr>
            <w:tcW w:w="0" w:type="dxa"/>
            <w:vAlign w:val="bottom"/>
          </w:tcPr>
          <w:p>
            <w:pPr>
              <w:spacing w:after="0"/>
              <w:rPr>
                <w:sz w:val="1"/>
                <w:szCs w:val="1"/>
                <w:color w:val="auto"/>
              </w:rPr>
            </w:pPr>
          </w:p>
        </w:tc>
      </w:tr>
      <w:tr>
        <w:trPr>
          <w:trHeight w:val="25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Service</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113,293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109,136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220,922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219,988</w:t>
            </w:r>
          </w:p>
        </w:tc>
        <w:tc>
          <w:tcPr>
            <w:tcW w:w="0" w:type="dxa"/>
            <w:vAlign w:val="bottom"/>
          </w:tcPr>
          <w:p>
            <w:pPr>
              <w:spacing w:after="0"/>
              <w:rPr>
                <w:sz w:val="1"/>
                <w:szCs w:val="1"/>
                <w:color w:val="auto"/>
              </w:rPr>
            </w:pPr>
          </w:p>
        </w:tc>
      </w:tr>
      <w:tr>
        <w:trPr>
          <w:trHeight w:val="246"/>
        </w:trPr>
        <w:tc>
          <w:tcPr>
            <w:tcW w:w="6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Product</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14,427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14,667</w:t>
            </w:r>
          </w:p>
        </w:tc>
        <w:tc>
          <w:tcPr>
            <w:tcW w:w="1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25,889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24,876</w:t>
            </w:r>
          </w:p>
        </w:tc>
        <w:tc>
          <w:tcPr>
            <w:tcW w:w="0" w:type="dxa"/>
            <w:vAlign w:val="bottom"/>
          </w:tcPr>
          <w:p>
            <w:pPr>
              <w:spacing w:after="0"/>
              <w:rPr>
                <w:sz w:val="1"/>
                <w:szCs w:val="1"/>
                <w:color w:val="auto"/>
              </w:rPr>
            </w:pPr>
          </w:p>
        </w:tc>
      </w:tr>
      <w:tr>
        <w:trPr>
          <w:trHeight w:val="237"/>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 of revenues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127,720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123,803</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246,811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244,864</w:t>
            </w:r>
          </w:p>
        </w:tc>
        <w:tc>
          <w:tcPr>
            <w:tcW w:w="0" w:type="dxa"/>
            <w:vAlign w:val="bottom"/>
          </w:tcPr>
          <w:p>
            <w:pPr>
              <w:spacing w:after="0"/>
              <w:rPr>
                <w:sz w:val="1"/>
                <w:szCs w:val="1"/>
                <w:color w:val="auto"/>
              </w:rPr>
            </w:pPr>
          </w:p>
        </w:tc>
      </w:tr>
      <w:tr>
        <w:trPr>
          <w:trHeight w:val="24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166,621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152,791</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302,053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279,906</w:t>
            </w:r>
          </w:p>
        </w:tc>
        <w:tc>
          <w:tcPr>
            <w:tcW w:w="0" w:type="dxa"/>
            <w:vAlign w:val="bottom"/>
          </w:tcPr>
          <w:p>
            <w:pPr>
              <w:spacing w:after="0"/>
              <w:rPr>
                <w:sz w:val="1"/>
                <w:szCs w:val="1"/>
                <w:color w:val="auto"/>
              </w:rPr>
            </w:pPr>
          </w:p>
        </w:tc>
      </w:tr>
      <w:tr>
        <w:trPr>
          <w:trHeight w:val="233"/>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68,893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60,575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131,954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118,784</w:t>
            </w:r>
          </w:p>
        </w:tc>
        <w:tc>
          <w:tcPr>
            <w:tcW w:w="0" w:type="dxa"/>
            <w:vAlign w:val="bottom"/>
          </w:tcPr>
          <w:p>
            <w:pPr>
              <w:spacing w:after="0"/>
              <w:rPr>
                <w:sz w:val="1"/>
                <w:szCs w:val="1"/>
                <w:color w:val="auto"/>
              </w:rPr>
            </w:pPr>
          </w:p>
        </w:tc>
      </w:tr>
      <w:tr>
        <w:trPr>
          <w:trHeight w:val="25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9,298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15,417</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24,625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31,149</w:t>
            </w:r>
          </w:p>
        </w:tc>
        <w:tc>
          <w:tcPr>
            <w:tcW w:w="0" w:type="dxa"/>
            <w:vAlign w:val="bottom"/>
          </w:tcPr>
          <w:p>
            <w:pPr>
              <w:spacing w:after="0"/>
              <w:rPr>
                <w:sz w:val="1"/>
                <w:szCs w:val="1"/>
                <w:color w:val="auto"/>
              </w:rPr>
            </w:pPr>
          </w:p>
        </w:tc>
      </w:tr>
      <w:tr>
        <w:trPr>
          <w:trHeight w:val="233"/>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Illinois EO litigation settlements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64,943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40,651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40,388</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81,527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82,159</w:t>
            </w:r>
          </w:p>
        </w:tc>
        <w:tc>
          <w:tcPr>
            <w:tcW w:w="0" w:type="dxa"/>
            <w:vAlign w:val="bottom"/>
          </w:tcPr>
          <w:p>
            <w:pPr>
              <w:spacing w:after="0"/>
              <w:rPr>
                <w:sz w:val="1"/>
                <w:szCs w:val="1"/>
                <w:color w:val="auto"/>
              </w:rPr>
            </w:pPr>
          </w:p>
        </w:tc>
      </w:tr>
      <w:tr>
        <w:trPr>
          <w:trHeight w:val="233"/>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refinancing of debt</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24,090</w:t>
            </w:r>
          </w:p>
        </w:tc>
        <w:tc>
          <w:tcPr>
            <w:tcW w:w="0" w:type="dxa"/>
            <w:vAlign w:val="bottom"/>
          </w:tcPr>
          <w:p>
            <w:pPr>
              <w:spacing w:after="0"/>
              <w:rPr>
                <w:sz w:val="1"/>
                <w:szCs w:val="1"/>
                <w:color w:val="auto"/>
              </w:rPr>
            </w:pPr>
          </w:p>
        </w:tc>
      </w:tr>
      <w:tr>
        <w:trPr>
          <w:trHeight w:val="25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loss (gain)</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0" w:type="dxa"/>
            <w:vAlign w:val="bottom"/>
          </w:tcPr>
          <w:p>
            <w:pPr>
              <w:spacing w:after="0"/>
              <w:rPr>
                <w:sz w:val="1"/>
                <w:szCs w:val="1"/>
                <w:color w:val="auto"/>
              </w:rPr>
            </w:pPr>
          </w:p>
        </w:tc>
      </w:tr>
      <w:tr>
        <w:trPr>
          <w:trHeight w:val="236"/>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(5,825)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(6,066)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0" w:type="dxa"/>
            <w:vAlign w:val="bottom"/>
          </w:tcPr>
          <w:p>
            <w:pPr>
              <w:spacing w:after="0"/>
              <w:rPr>
                <w:sz w:val="1"/>
                <w:szCs w:val="1"/>
                <w:color w:val="auto"/>
              </w:rPr>
            </w:pPr>
          </w:p>
        </w:tc>
      </w:tr>
      <w:tr>
        <w:trPr>
          <w:trHeight w:val="24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18,897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15,142</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4,074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26,156</w:t>
            </w:r>
          </w:p>
        </w:tc>
        <w:tc>
          <w:tcPr>
            <w:tcW w:w="0" w:type="dxa"/>
            <w:vAlign w:val="bottom"/>
          </w:tcPr>
          <w:p>
            <w:pPr>
              <w:spacing w:after="0"/>
              <w:rPr>
                <w:sz w:val="1"/>
                <w:szCs w:val="1"/>
                <w:color w:val="auto"/>
              </w:rPr>
            </w:pPr>
          </w:p>
        </w:tc>
      </w:tr>
      <w:tr>
        <w:trPr>
          <w:trHeight w:val="237"/>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10,935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6,388</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9,372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11,079</w:t>
            </w:r>
          </w:p>
        </w:tc>
        <w:tc>
          <w:tcPr>
            <w:tcW w:w="0" w:type="dxa"/>
            <w:vAlign w:val="bottom"/>
          </w:tcPr>
          <w:p>
            <w:pPr>
              <w:spacing w:after="0"/>
              <w:rPr>
                <w:sz w:val="1"/>
                <w:szCs w:val="1"/>
                <w:color w:val="auto"/>
              </w:rPr>
            </w:pPr>
          </w:p>
        </w:tc>
      </w:tr>
      <w:tr>
        <w:trPr>
          <w:trHeight w:val="24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7,962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8,754</w:t>
            </w:r>
          </w:p>
        </w:tc>
        <w:tc>
          <w:tcPr>
            <w:tcW w:w="1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(5,298)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15,077</w:t>
            </w:r>
          </w:p>
        </w:tc>
        <w:tc>
          <w:tcPr>
            <w:tcW w:w="0" w:type="dxa"/>
            <w:vAlign w:val="bottom"/>
          </w:tcPr>
          <w:p>
            <w:pPr>
              <w:spacing w:after="0"/>
              <w:rPr>
                <w:sz w:val="1"/>
                <w:szCs w:val="1"/>
                <w:color w:val="auto"/>
              </w:rPr>
            </w:pPr>
          </w:p>
        </w:tc>
      </w:tr>
      <w:tr>
        <w:trPr>
          <w:trHeight w:val="213"/>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Pension and post-retirement benefits (net of taxes of $24, $10, $27, and $47,</w:t>
            </w:r>
          </w:p>
        </w:tc>
        <w:tc>
          <w:tcPr>
            <w:tcW w:w="20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respectively)</w:t>
            </w: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Interest rate derivatives (net of taxes of $(386), $(857), $(652) and $(711),</w:t>
            </w:r>
          </w:p>
        </w:tc>
        <w:tc>
          <w:tcPr>
            <w:tcW w:w="20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(1,895)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1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respectively)</w:t>
            </w:r>
          </w:p>
        </w:tc>
        <w:tc>
          <w:tcPr>
            <w:tcW w:w="2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0" w:type="dxa"/>
            <w:vAlign w:val="bottom"/>
          </w:tcPr>
          <w:p>
            <w:pPr>
              <w:spacing w:after="0"/>
              <w:rPr>
                <w:sz w:val="1"/>
                <w:szCs w:val="1"/>
                <w:color w:val="auto"/>
              </w:rPr>
            </w:pPr>
          </w:p>
        </w:tc>
      </w:tr>
      <w:tr>
        <w:trPr>
          <w:trHeight w:val="246"/>
        </w:trPr>
        <w:tc>
          <w:tcPr>
            <w:tcW w:w="6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82,217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(23,110)</w:t>
            </w:r>
          </w:p>
        </w:tc>
        <w:tc>
          <w:tcPr>
            <w:tcW w:w="1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101,777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(50,816)</w:t>
            </w:r>
          </w:p>
        </w:tc>
        <w:tc>
          <w:tcPr>
            <w:tcW w:w="0" w:type="dxa"/>
            <w:vAlign w:val="bottom"/>
          </w:tcPr>
          <w:p>
            <w:pPr>
              <w:spacing w:after="0"/>
              <w:rPr>
                <w:sz w:val="1"/>
                <w:szCs w:val="1"/>
                <w:color w:val="auto"/>
              </w:rPr>
            </w:pP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89,127</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(16,787)</w:t>
            </w:r>
          </w:p>
        </w:tc>
        <w:tc>
          <w:tcPr>
            <w:tcW w:w="16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94,665</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(37,638)</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per share: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0.03</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6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(0.02)</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53"/>
        </w:trPr>
        <w:tc>
          <w:tcPr>
            <w:tcW w:w="6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33"/>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283,933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282,894</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283,747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282,403</w:t>
            </w:r>
          </w:p>
        </w:tc>
        <w:tc>
          <w:tcPr>
            <w:tcW w:w="0" w:type="dxa"/>
            <w:vAlign w:val="bottom"/>
          </w:tcPr>
          <w:p>
            <w:pPr>
              <w:spacing w:after="0"/>
              <w:rPr>
                <w:sz w:val="1"/>
                <w:szCs w:val="1"/>
                <w:color w:val="auto"/>
              </w:rPr>
            </w:pPr>
          </w:p>
        </w:tc>
      </w:tr>
      <w:tr>
        <w:trPr>
          <w:trHeight w:val="223"/>
        </w:trPr>
        <w:tc>
          <w:tcPr>
            <w:tcW w:w="6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285,756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284,541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283,747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284,264</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1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960" w:type="dxa"/>
            <w:vAlign w:val="bottom"/>
            <w:gridSpan w:val="5"/>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88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(5,298)</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15,077</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45,223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40,381</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30,597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39,879</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on refinancing of debt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24,090</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(25,099)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(8,099)</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15,361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18,844</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Accretion of asset retirement obligations</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Unrealized foreign exchange loss (gain)</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18,886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(6,980)</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Unrealized (gain) loss on derivatives not designated as hedging instruments</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(1,994)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2,645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4,704</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(2,474)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(3,258)</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receivable</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9,084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22,261</w:t>
            </w:r>
          </w:p>
        </w:tc>
        <w:tc>
          <w:tcPr>
            <w:tcW w:w="0" w:type="dxa"/>
            <w:vAlign w:val="bottom"/>
          </w:tcPr>
          <w:p>
            <w:pPr>
              <w:spacing w:after="0"/>
              <w:rPr>
                <w:sz w:val="1"/>
                <w:szCs w:val="1"/>
                <w:color w:val="auto"/>
              </w:rPr>
            </w:pPr>
          </w:p>
        </w:tc>
      </w:tr>
      <w:tr>
        <w:trPr>
          <w:trHeight w:val="193"/>
        </w:trPr>
        <w:tc>
          <w:tcPr>
            <w:tcW w:w="8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Inventories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(7,663)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(11,084)</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current assets</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(14,250)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(3,602)</w:t>
            </w:r>
          </w:p>
        </w:tc>
        <w:tc>
          <w:tcPr>
            <w:tcW w:w="0" w:type="dxa"/>
            <w:vAlign w:val="bottom"/>
          </w:tcPr>
          <w:p>
            <w:pPr>
              <w:spacing w:after="0"/>
              <w:rPr>
                <w:sz w:val="1"/>
                <w:szCs w:val="1"/>
                <w:color w:val="auto"/>
              </w:rPr>
            </w:pPr>
          </w:p>
        </w:tc>
      </w:tr>
      <w:tr>
        <w:trPr>
          <w:trHeight w:val="193"/>
        </w:trPr>
        <w:tc>
          <w:tcPr>
            <w:tcW w:w="8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5,573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Accrued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(14,514)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(18,585)</w:t>
            </w:r>
          </w:p>
        </w:tc>
        <w:tc>
          <w:tcPr>
            <w:tcW w:w="0" w:type="dxa"/>
            <w:vAlign w:val="bottom"/>
          </w:tcPr>
          <w:p>
            <w:pPr>
              <w:spacing w:after="0"/>
              <w:rPr>
                <w:sz w:val="1"/>
                <w:szCs w:val="1"/>
                <w:color w:val="auto"/>
              </w:rPr>
            </w:pPr>
          </w:p>
        </w:tc>
      </w:tr>
      <w:tr>
        <w:trPr>
          <w:trHeight w:val="193"/>
        </w:trPr>
        <w:tc>
          <w:tcPr>
            <w:tcW w:w="8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Illinois EO litigation settlements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64,943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Georgia EO litigation settlement</w:t>
            </w:r>
          </w:p>
        </w:tc>
        <w:tc>
          <w:tcPr>
            <w:tcW w:w="8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0" w:type="dxa"/>
            <w:vAlign w:val="bottom"/>
          </w:tcPr>
          <w:p>
            <w:pPr>
              <w:spacing w:after="0"/>
              <w:rPr>
                <w:sz w:val="1"/>
                <w:szCs w:val="1"/>
                <w:color w:val="auto"/>
              </w:rPr>
            </w:pPr>
          </w:p>
        </w:tc>
      </w:tr>
      <w:tr>
        <w:trPr>
          <w:trHeight w:val="193"/>
        </w:trPr>
        <w:tc>
          <w:tcPr>
            <w:tcW w:w="8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Income taxes payable / receivable, net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(8,212)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(5,343)</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93"/>
        </w:trPr>
        <w:tc>
          <w:tcPr>
            <w:tcW w:w="8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long-term assets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(1,060)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112,937</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70,994</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(51,147)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(76,811)</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8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(51,110)</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(76,774)</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8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2,259,350</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of debt issuance costs and debt discount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(30,204)</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on long-term borrowings</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(7,547)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(2,260,600)</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Buyout of leased facility</w:t>
            </w:r>
          </w:p>
        </w:tc>
        <w:tc>
          <w:tcPr>
            <w:tcW w:w="8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(6,736)</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for employee taxes on equity awards</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(3,654)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(2,176)</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(1,493)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(15,020)</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(41,362)</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(6,754)</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 including restricted cash</w:t>
            </w: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55,407</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(53,896)</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including restricted cash, at beginning of period</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278,865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301,654</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including restricted cash, at end of period</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334,272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247,758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28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paid during the period for interest</w:t>
            </w: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102,716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111,169</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paid during the period for income taxes, net of tax refunds received</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32,207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27,714</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Purchases of property, plant and equipment included in accounts payable</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10,307</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13,538</w:t>
            </w:r>
          </w:p>
        </w:tc>
        <w:tc>
          <w:tcPr>
            <w:tcW w:w="0" w:type="dxa"/>
            <w:vAlign w:val="bottom"/>
          </w:tcPr>
          <w:p>
            <w:pPr>
              <w:spacing w:after="0"/>
              <w:rPr>
                <w:sz w:val="1"/>
                <w:szCs w:val="1"/>
                <w:color w:val="auto"/>
              </w:rPr>
            </w:pPr>
          </w:p>
        </w:tc>
      </w:tr>
      <w:tr>
        <w:trPr>
          <w:trHeight w:val="37"/>
        </w:trPr>
        <w:tc>
          <w:tcPr>
            <w:tcW w:w="82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11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760" w:type="dxa"/>
            <w:vAlign w:val="bottom"/>
          </w:tcPr>
          <w:p>
            <w:pPr>
              <w:spacing w:after="0"/>
              <w:rPr>
                <w:sz w:val="14"/>
                <w:szCs w:val="14"/>
                <w:color w:val="auto"/>
              </w:rPr>
            </w:pPr>
          </w:p>
        </w:tc>
        <w:tc>
          <w:tcPr>
            <w:tcW w:w="2140" w:type="dxa"/>
            <w:vAlign w:val="bottom"/>
            <w:gridSpan w:val="5"/>
            <w:vMerge w:val="restart"/>
          </w:tcPr>
          <w:p>
            <w:pPr>
              <w:ind w:left="6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760" w:type="dxa"/>
            <w:vAlign w:val="bottom"/>
          </w:tcPr>
          <w:p>
            <w:pPr>
              <w:spacing w:after="0"/>
              <w:rPr>
                <w:sz w:val="4"/>
                <w:szCs w:val="4"/>
                <w:color w:val="auto"/>
              </w:rPr>
            </w:pPr>
          </w:p>
        </w:tc>
        <w:tc>
          <w:tcPr>
            <w:tcW w:w="2140" w:type="dxa"/>
            <w:vAlign w:val="bottom"/>
            <w:gridSpan w:val="5"/>
            <w:vMerge w:val="continue"/>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00"/>
              <w:spacing w:after="0" w:line="91" w:lineRule="exact"/>
              <w:rPr>
                <w:sz w:val="20"/>
                <w:szCs w:val="20"/>
                <w:color w:val="auto"/>
              </w:rPr>
            </w:pPr>
            <w:r>
              <w:rPr>
                <w:rFonts w:ascii="Times New Roman" w:cs="Times New Roman" w:eastAsia="Times New Roman" w:hAnsi="Times New Roman"/>
                <w:sz w:val="10"/>
                <w:szCs w:val="10"/>
                <w:b w:val="1"/>
                <w:bCs w:val="1"/>
                <w:color w:val="auto"/>
              </w:rPr>
              <w:t>Earnings /</w:t>
            </w:r>
          </w:p>
        </w:tc>
        <w:tc>
          <w:tcPr>
            <w:tcW w:w="120" w:type="dxa"/>
            <w:vAlign w:val="bottom"/>
          </w:tcPr>
          <w:p>
            <w:pPr>
              <w:spacing w:after="0"/>
              <w:rPr>
                <w:sz w:val="4"/>
                <w:szCs w:val="4"/>
                <w:color w:val="auto"/>
              </w:rPr>
            </w:pPr>
          </w:p>
        </w:tc>
        <w:tc>
          <w:tcPr>
            <w:tcW w:w="1020" w:type="dxa"/>
            <w:vAlign w:val="bottom"/>
            <w:gridSpan w:val="2"/>
            <w:vMerge w:val="restart"/>
          </w:tcPr>
          <w:p>
            <w:pPr>
              <w:jc w:val="center"/>
              <w:ind w:right="220"/>
              <w:spacing w:after="0" w:line="91" w:lineRule="exact"/>
              <w:rPr>
                <w:sz w:val="20"/>
                <w:szCs w:val="20"/>
                <w:color w:val="auto"/>
              </w:rPr>
            </w:pPr>
            <w:r>
              <w:rPr>
                <w:rFonts w:ascii="Times New Roman" w:cs="Times New Roman" w:eastAsia="Times New Roman" w:hAnsi="Times New Roman"/>
                <w:sz w:val="10"/>
                <w:szCs w:val="10"/>
                <w:b w:val="1"/>
                <w:bCs w:val="1"/>
                <w:color w:val="auto"/>
              </w:rPr>
              <w:t>Other</w:t>
            </w: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76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3760" w:type="dxa"/>
            <w:vAlign w:val="bottom"/>
          </w:tcPr>
          <w:p>
            <w:pPr>
              <w:spacing w:after="0"/>
              <w:rPr>
                <w:sz w:val="9"/>
                <w:szCs w:val="9"/>
                <w:color w:val="auto"/>
              </w:rPr>
            </w:pPr>
          </w:p>
        </w:tc>
        <w:tc>
          <w:tcPr>
            <w:tcW w:w="10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9"/>
                <w:szCs w:val="9"/>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9"/>
                <w:szCs w:val="9"/>
                <w:color w:val="auto"/>
              </w:rPr>
            </w:pPr>
          </w:p>
        </w:tc>
        <w:tc>
          <w:tcPr>
            <w:tcW w:w="880" w:type="dxa"/>
            <w:vAlign w:val="bottom"/>
            <w:gridSpan w:val="2"/>
          </w:tcPr>
          <w:p>
            <w:pPr>
              <w:jc w:val="center"/>
              <w:ind w:right="280"/>
              <w:spacing w:after="0" w:line="113" w:lineRule="exact"/>
              <w:rPr>
                <w:sz w:val="20"/>
                <w:szCs w:val="20"/>
                <w:color w:val="auto"/>
              </w:rPr>
            </w:pPr>
            <w:r>
              <w:rPr>
                <w:rFonts w:ascii="Times New Roman" w:cs="Times New Roman" w:eastAsia="Times New Roman" w:hAnsi="Times New Roman"/>
                <w:sz w:val="11"/>
                <w:szCs w:val="11"/>
                <w:b w:val="1"/>
                <w:bCs w:val="1"/>
                <w:color w:val="auto"/>
                <w:w w:val="92"/>
              </w:rPr>
              <w:t>Treasury</w:t>
            </w:r>
          </w:p>
        </w:tc>
        <w:tc>
          <w:tcPr>
            <w:tcW w:w="160" w:type="dxa"/>
            <w:vAlign w:val="bottom"/>
          </w:tcPr>
          <w:p>
            <w:pPr>
              <w:spacing w:after="0"/>
              <w:rPr>
                <w:sz w:val="9"/>
                <w:szCs w:val="9"/>
                <w:color w:val="auto"/>
              </w:rPr>
            </w:pPr>
          </w:p>
        </w:tc>
        <w:tc>
          <w:tcPr>
            <w:tcW w:w="920" w:type="dxa"/>
            <w:vAlign w:val="bottom"/>
            <w:gridSpan w:val="2"/>
          </w:tcPr>
          <w:p>
            <w:pPr>
              <w:jc w:val="center"/>
              <w:ind w:right="260"/>
              <w:spacing w:after="0" w:line="113" w:lineRule="exact"/>
              <w:rPr>
                <w:sz w:val="20"/>
                <w:szCs w:val="20"/>
                <w:color w:val="auto"/>
              </w:rPr>
            </w:pPr>
            <w:r>
              <w:rPr>
                <w:rFonts w:ascii="Times New Roman" w:cs="Times New Roman" w:eastAsia="Times New Roman" w:hAnsi="Times New Roman"/>
                <w:sz w:val="11"/>
                <w:szCs w:val="11"/>
                <w:b w:val="1"/>
                <w:bCs w:val="1"/>
                <w:color w:val="auto"/>
                <w:w w:val="95"/>
              </w:rPr>
              <w:t>Paid-In</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13"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9"/>
                <w:szCs w:val="9"/>
                <w:color w:val="auto"/>
              </w:rPr>
            </w:pPr>
          </w:p>
        </w:tc>
        <w:tc>
          <w:tcPr>
            <w:tcW w:w="1020" w:type="dxa"/>
            <w:vAlign w:val="bottom"/>
            <w:gridSpan w:val="2"/>
          </w:tcPr>
          <w:p>
            <w:pPr>
              <w:jc w:val="center"/>
              <w:ind w:right="220"/>
              <w:spacing w:after="0" w:line="113"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200" w:type="dxa"/>
            <w:vAlign w:val="bottom"/>
          </w:tcPr>
          <w:p>
            <w:pPr>
              <w:spacing w:after="0"/>
              <w:rPr>
                <w:sz w:val="9"/>
                <w:szCs w:val="9"/>
                <w:color w:val="auto"/>
              </w:rPr>
            </w:pPr>
          </w:p>
        </w:tc>
        <w:tc>
          <w:tcPr>
            <w:tcW w:w="780" w:type="dxa"/>
            <w:vAlign w:val="bottom"/>
          </w:tcPr>
          <w:p>
            <w:pPr>
              <w:jc w:val="center"/>
              <w:ind w:right="152"/>
              <w:spacing w:after="0" w:line="113"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6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12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(Loss) Income</w:t>
            </w:r>
          </w:p>
        </w:tc>
        <w:tc>
          <w:tcPr>
            <w:tcW w:w="200" w:type="dxa"/>
            <w:vAlign w:val="bottom"/>
          </w:tcPr>
          <w:p>
            <w:pPr>
              <w:spacing w:after="0"/>
              <w:rPr>
                <w:sz w:val="13"/>
                <w:szCs w:val="13"/>
                <w:color w:val="auto"/>
              </w:rPr>
            </w:pPr>
          </w:p>
        </w:tc>
        <w:tc>
          <w:tcPr>
            <w:tcW w:w="780" w:type="dxa"/>
            <w:vAlign w:val="bottom"/>
          </w:tcPr>
          <w:p>
            <w:pPr>
              <w:jc w:val="center"/>
              <w:ind w:right="132"/>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22"/>
        </w:trPr>
        <w:tc>
          <w:tcPr>
            <w:tcW w:w="3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283,855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(20,855)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1,244,841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(623,302)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(189,453)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414,091</w:t>
            </w:r>
          </w:p>
        </w:tc>
        <w:tc>
          <w:tcPr>
            <w:tcW w:w="0" w:type="dxa"/>
            <w:vAlign w:val="bottom"/>
          </w:tcPr>
          <w:p>
            <w:pPr>
              <w:spacing w:after="0"/>
              <w:rPr>
                <w:sz w:val="1"/>
                <w:szCs w:val="1"/>
                <w:color w:val="auto"/>
              </w:rPr>
            </w:pPr>
          </w:p>
        </w:tc>
      </w:tr>
      <w:tr>
        <w:trPr>
          <w:trHeight w:val="193"/>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8,065</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Pension and post-retirement plan adjustments, net of tax</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82,217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82,217</w:t>
            </w:r>
          </w:p>
        </w:tc>
        <w:tc>
          <w:tcPr>
            <w:tcW w:w="0" w:type="dxa"/>
            <w:vAlign w:val="bottom"/>
          </w:tcPr>
          <w:p>
            <w:pPr>
              <w:spacing w:after="0"/>
              <w:rPr>
                <w:sz w:val="1"/>
                <w:szCs w:val="1"/>
                <w:color w:val="auto"/>
              </w:rPr>
            </w:pPr>
          </w:p>
        </w:tc>
      </w:tr>
      <w:tr>
        <w:trPr>
          <w:trHeight w:val="193"/>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rate derivatives, net of tax</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(1,123)</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7,962</w:t>
            </w:r>
          </w:p>
        </w:tc>
        <w:tc>
          <w:tcPr>
            <w:tcW w:w="0" w:type="dxa"/>
            <w:vAlign w:val="bottom"/>
          </w:tcPr>
          <w:p>
            <w:pPr>
              <w:spacing w:after="0"/>
              <w:rPr>
                <w:sz w:val="1"/>
                <w:szCs w:val="1"/>
                <w:color w:val="auto"/>
              </w:rPr>
            </w:pPr>
          </w:p>
        </w:tc>
      </w:tr>
      <w:tr>
        <w:trPr>
          <w:trHeight w:val="218"/>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284,047</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(19,038)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1,251,089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(615,340)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(108,288)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511,283</w:t>
            </w:r>
          </w:p>
        </w:tc>
        <w:tc>
          <w:tcPr>
            <w:tcW w:w="0" w:type="dxa"/>
            <w:vAlign w:val="bottom"/>
          </w:tcPr>
          <w:p>
            <w:pPr>
              <w:spacing w:after="0"/>
              <w:rPr>
                <w:sz w:val="1"/>
                <w:szCs w:val="1"/>
                <w:color w:val="auto"/>
              </w:rPr>
            </w:pPr>
          </w:p>
        </w:tc>
      </w:tr>
      <w:tr>
        <w:trPr>
          <w:trHeight w:val="25"/>
        </w:trPr>
        <w:tc>
          <w:tcPr>
            <w:tcW w:w="3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32"/>
        </w:trPr>
        <w:tc>
          <w:tcPr>
            <w:tcW w:w="3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214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2140" w:type="dxa"/>
            <w:vAlign w:val="bottom"/>
            <w:gridSpan w:val="5"/>
          </w:tcPr>
          <w:p>
            <w:pPr>
              <w:ind w:left="6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376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200"/>
              <w:spacing w:after="0" w:line="110" w:lineRule="exact"/>
              <w:rPr>
                <w:sz w:val="20"/>
                <w:szCs w:val="20"/>
                <w:color w:val="auto"/>
              </w:rPr>
            </w:pPr>
            <w:r>
              <w:rPr>
                <w:rFonts w:ascii="Times New Roman" w:cs="Times New Roman" w:eastAsia="Times New Roman" w:hAnsi="Times New Roman"/>
                <w:sz w:val="11"/>
                <w:szCs w:val="11"/>
                <w:b w:val="1"/>
                <w:bCs w:val="1"/>
                <w:color w:val="auto"/>
                <w:w w:val="98"/>
              </w:rPr>
              <w:t>Earnings /</w:t>
            </w:r>
          </w:p>
        </w:tc>
        <w:tc>
          <w:tcPr>
            <w:tcW w:w="120" w:type="dxa"/>
            <w:vAlign w:val="bottom"/>
          </w:tcPr>
          <w:p>
            <w:pPr>
              <w:spacing w:after="0"/>
              <w:rPr>
                <w:sz w:val="9"/>
                <w:szCs w:val="9"/>
                <w:color w:val="auto"/>
              </w:rPr>
            </w:pPr>
          </w:p>
        </w:tc>
        <w:tc>
          <w:tcPr>
            <w:tcW w:w="1020" w:type="dxa"/>
            <w:vAlign w:val="bottom"/>
            <w:gridSpan w:val="2"/>
          </w:tcPr>
          <w:p>
            <w:pPr>
              <w:jc w:val="center"/>
              <w:ind w:right="220"/>
              <w:spacing w:after="0" w:line="110"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760" w:type="dxa"/>
            <w:vAlign w:val="bottom"/>
          </w:tcPr>
          <w:p>
            <w:pPr>
              <w:spacing w:after="0"/>
              <w:rPr>
                <w:sz w:val="9"/>
                <w:szCs w:val="9"/>
                <w:color w:val="auto"/>
              </w:rPr>
            </w:pPr>
          </w:p>
        </w:tc>
        <w:tc>
          <w:tcPr>
            <w:tcW w:w="10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9"/>
                <w:szCs w:val="9"/>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9"/>
                <w:szCs w:val="9"/>
                <w:color w:val="auto"/>
              </w:rPr>
            </w:pPr>
          </w:p>
        </w:tc>
        <w:tc>
          <w:tcPr>
            <w:tcW w:w="880" w:type="dxa"/>
            <w:vAlign w:val="bottom"/>
            <w:gridSpan w:val="2"/>
          </w:tcPr>
          <w:p>
            <w:pPr>
              <w:jc w:val="center"/>
              <w:ind w:right="280"/>
              <w:spacing w:after="0" w:line="113" w:lineRule="exact"/>
              <w:rPr>
                <w:sz w:val="20"/>
                <w:szCs w:val="20"/>
                <w:color w:val="auto"/>
              </w:rPr>
            </w:pPr>
            <w:r>
              <w:rPr>
                <w:rFonts w:ascii="Times New Roman" w:cs="Times New Roman" w:eastAsia="Times New Roman" w:hAnsi="Times New Roman"/>
                <w:sz w:val="11"/>
                <w:szCs w:val="11"/>
                <w:b w:val="1"/>
                <w:bCs w:val="1"/>
                <w:color w:val="auto"/>
                <w:w w:val="92"/>
              </w:rPr>
              <w:t>Treasury</w:t>
            </w:r>
          </w:p>
        </w:tc>
        <w:tc>
          <w:tcPr>
            <w:tcW w:w="160" w:type="dxa"/>
            <w:vAlign w:val="bottom"/>
          </w:tcPr>
          <w:p>
            <w:pPr>
              <w:spacing w:after="0"/>
              <w:rPr>
                <w:sz w:val="9"/>
                <w:szCs w:val="9"/>
                <w:color w:val="auto"/>
              </w:rPr>
            </w:pPr>
          </w:p>
        </w:tc>
        <w:tc>
          <w:tcPr>
            <w:tcW w:w="920" w:type="dxa"/>
            <w:vAlign w:val="bottom"/>
            <w:gridSpan w:val="2"/>
          </w:tcPr>
          <w:p>
            <w:pPr>
              <w:jc w:val="center"/>
              <w:ind w:right="260"/>
              <w:spacing w:after="0" w:line="113" w:lineRule="exact"/>
              <w:rPr>
                <w:sz w:val="20"/>
                <w:szCs w:val="20"/>
                <w:color w:val="auto"/>
              </w:rPr>
            </w:pPr>
            <w:r>
              <w:rPr>
                <w:rFonts w:ascii="Times New Roman" w:cs="Times New Roman" w:eastAsia="Times New Roman" w:hAnsi="Times New Roman"/>
                <w:sz w:val="11"/>
                <w:szCs w:val="11"/>
                <w:b w:val="1"/>
                <w:bCs w:val="1"/>
                <w:color w:val="auto"/>
                <w:w w:val="95"/>
              </w:rPr>
              <w:t>Paid-In</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13"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9"/>
                <w:szCs w:val="9"/>
                <w:color w:val="auto"/>
              </w:rPr>
            </w:pPr>
          </w:p>
        </w:tc>
        <w:tc>
          <w:tcPr>
            <w:tcW w:w="1020" w:type="dxa"/>
            <w:vAlign w:val="bottom"/>
            <w:gridSpan w:val="2"/>
          </w:tcPr>
          <w:p>
            <w:pPr>
              <w:jc w:val="center"/>
              <w:ind w:right="220"/>
              <w:spacing w:after="0" w:line="113"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200" w:type="dxa"/>
            <w:vAlign w:val="bottom"/>
          </w:tcPr>
          <w:p>
            <w:pPr>
              <w:spacing w:after="0"/>
              <w:rPr>
                <w:sz w:val="9"/>
                <w:szCs w:val="9"/>
                <w:color w:val="auto"/>
              </w:rPr>
            </w:pPr>
          </w:p>
        </w:tc>
        <w:tc>
          <w:tcPr>
            <w:tcW w:w="780" w:type="dxa"/>
            <w:vAlign w:val="bottom"/>
          </w:tcPr>
          <w:p>
            <w:pPr>
              <w:jc w:val="center"/>
              <w:ind w:right="152"/>
              <w:spacing w:after="0" w:line="113"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6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(Loss) Income</w:t>
            </w:r>
          </w:p>
        </w:tc>
        <w:tc>
          <w:tcPr>
            <w:tcW w:w="200" w:type="dxa"/>
            <w:vAlign w:val="bottom"/>
          </w:tcPr>
          <w:p>
            <w:pPr>
              <w:spacing w:after="0"/>
              <w:rPr>
                <w:sz w:val="12"/>
                <w:szCs w:val="12"/>
                <w:color w:val="auto"/>
              </w:rPr>
            </w:pPr>
          </w:p>
        </w:tc>
        <w:tc>
          <w:tcPr>
            <w:tcW w:w="780" w:type="dxa"/>
            <w:vAlign w:val="bottom"/>
          </w:tcPr>
          <w:p>
            <w:pPr>
              <w:jc w:val="center"/>
              <w:ind w:right="132"/>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36"/>
        </w:trPr>
        <w:tc>
          <w:tcPr>
            <w:tcW w:w="37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283,466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(23,434)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1,243,778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(610,042)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(208,251)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404,911</w:t>
            </w:r>
          </w:p>
        </w:tc>
        <w:tc>
          <w:tcPr>
            <w:tcW w:w="0" w:type="dxa"/>
            <w:vAlign w:val="bottom"/>
          </w:tcPr>
          <w:p>
            <w:pPr>
              <w:spacing w:after="0"/>
              <w:rPr>
                <w:sz w:val="1"/>
                <w:szCs w:val="1"/>
                <w:color w:val="auto"/>
              </w:rPr>
            </w:pPr>
          </w:p>
        </w:tc>
      </w:tr>
      <w:tr>
        <w:trPr>
          <w:trHeight w:val="193"/>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11,707</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Pension and post-retirement plan adjustments, net of tax</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101,777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101,777</w:t>
            </w:r>
          </w:p>
        </w:tc>
        <w:tc>
          <w:tcPr>
            <w:tcW w:w="0" w:type="dxa"/>
            <w:vAlign w:val="bottom"/>
          </w:tcPr>
          <w:p>
            <w:pPr>
              <w:spacing w:after="0"/>
              <w:rPr>
                <w:sz w:val="1"/>
                <w:szCs w:val="1"/>
                <w:color w:val="auto"/>
              </w:rPr>
            </w:pPr>
          </w:p>
        </w:tc>
      </w:tr>
      <w:tr>
        <w:trPr>
          <w:trHeight w:val="193"/>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rate derivatives, net of tax</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(1,895)</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(5,298)</w:t>
            </w:r>
          </w:p>
        </w:tc>
        <w:tc>
          <w:tcPr>
            <w:tcW w:w="0" w:type="dxa"/>
            <w:vAlign w:val="bottom"/>
          </w:tcPr>
          <w:p>
            <w:pPr>
              <w:spacing w:after="0"/>
              <w:rPr>
                <w:sz w:val="1"/>
                <w:szCs w:val="1"/>
                <w:color w:val="auto"/>
              </w:rPr>
            </w:pPr>
          </w:p>
        </w:tc>
      </w:tr>
      <w:tr>
        <w:trPr>
          <w:trHeight w:val="218"/>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284,047</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(19,038)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1,251,089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(615,340)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(108,288)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511,283</w:t>
            </w:r>
          </w:p>
        </w:tc>
        <w:tc>
          <w:tcPr>
            <w:tcW w:w="0" w:type="dxa"/>
            <w:vAlign w:val="bottom"/>
          </w:tcPr>
          <w:p>
            <w:pPr>
              <w:spacing w:after="0"/>
              <w:rPr>
                <w:sz w:val="1"/>
                <w:szCs w:val="1"/>
                <w:color w:val="auto"/>
              </w:rPr>
            </w:pPr>
          </w:p>
        </w:tc>
      </w:tr>
      <w:tr>
        <w:trPr>
          <w:trHeight w:val="25"/>
        </w:trPr>
        <w:tc>
          <w:tcPr>
            <w:tcW w:w="3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11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Consolidated Statements of Equity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214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3780" w:type="dxa"/>
            <w:vAlign w:val="bottom"/>
          </w:tcPr>
          <w:p>
            <w:pPr>
              <w:spacing w:after="0"/>
              <w:rPr>
                <w:sz w:val="22"/>
                <w:szCs w:val="22"/>
                <w:color w:val="auto"/>
              </w:rPr>
            </w:pPr>
          </w:p>
        </w:tc>
        <w:tc>
          <w:tcPr>
            <w:tcW w:w="2140" w:type="dxa"/>
            <w:vAlign w:val="bottom"/>
            <w:gridSpan w:val="5"/>
          </w:tcPr>
          <w:p>
            <w:pPr>
              <w:ind w:left="6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40" w:type="dxa"/>
            <w:vAlign w:val="bottom"/>
          </w:tcPr>
          <w:p>
            <w:pPr>
              <w:spacing w:after="0"/>
              <w:rPr>
                <w:sz w:val="22"/>
                <w:szCs w:val="22"/>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Retained</w:t>
            </w:r>
          </w:p>
        </w:tc>
        <w:tc>
          <w:tcPr>
            <w:tcW w:w="120" w:type="dxa"/>
            <w:vAlign w:val="bottom"/>
          </w:tcPr>
          <w:p>
            <w:pPr>
              <w:spacing w:after="0"/>
              <w:rPr>
                <w:sz w:val="22"/>
                <w:szCs w:val="22"/>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37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1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Earnings /</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3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10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0"/>
                <w:szCs w:val="10"/>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200" w:type="dxa"/>
            <w:vAlign w:val="bottom"/>
          </w:tcPr>
          <w:p>
            <w:pPr>
              <w:spacing w:after="0"/>
              <w:rPr>
                <w:sz w:val="10"/>
                <w:szCs w:val="10"/>
                <w:color w:val="auto"/>
              </w:rPr>
            </w:pPr>
          </w:p>
        </w:tc>
        <w:tc>
          <w:tcPr>
            <w:tcW w:w="780" w:type="dxa"/>
            <w:vAlign w:val="bottom"/>
          </w:tcPr>
          <w:p>
            <w:pPr>
              <w:jc w:val="right"/>
              <w:ind w:right="312"/>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8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4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(Loss) Income</w:t>
            </w:r>
          </w:p>
        </w:tc>
        <w:tc>
          <w:tcPr>
            <w:tcW w:w="200" w:type="dxa"/>
            <w:vAlign w:val="bottom"/>
          </w:tcPr>
          <w:p>
            <w:pPr>
              <w:spacing w:after="0"/>
              <w:rPr>
                <w:sz w:val="13"/>
                <w:szCs w:val="13"/>
                <w:color w:val="auto"/>
              </w:rPr>
            </w:pP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283,071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(26,042)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1,220,547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(648,117)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(119,856)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429,392</w:t>
            </w:r>
          </w:p>
        </w:tc>
        <w:tc>
          <w:tcPr>
            <w:tcW w:w="0" w:type="dxa"/>
            <w:vAlign w:val="bottom"/>
          </w:tcPr>
          <w:p>
            <w:pPr>
              <w:spacing w:after="0"/>
              <w:rPr>
                <w:sz w:val="1"/>
                <w:szCs w:val="1"/>
                <w:color w:val="auto"/>
              </w:rPr>
            </w:pPr>
          </w:p>
        </w:tc>
      </w:tr>
      <w:tr>
        <w:trPr>
          <w:trHeight w:val="19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10,159</w:t>
            </w: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Pension and post-retirement plan adjustments, net of tax</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(23,110)</w:t>
            </w:r>
          </w:p>
        </w:tc>
        <w:tc>
          <w:tcPr>
            <w:tcW w:w="0" w:type="dxa"/>
            <w:vAlign w:val="bottom"/>
          </w:tcPr>
          <w:p>
            <w:pPr>
              <w:spacing w:after="0"/>
              <w:rPr>
                <w:sz w:val="1"/>
                <w:szCs w:val="1"/>
                <w:color w:val="auto"/>
              </w:rPr>
            </w:pPr>
          </w:p>
        </w:tc>
      </w:tr>
      <w:tr>
        <w:trPr>
          <w:trHeight w:val="193"/>
        </w:trPr>
        <w:tc>
          <w:tcPr>
            <w:tcW w:w="3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rate derivatives, net of tax</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w:t>
            </w: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8,754</w:t>
            </w: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283,214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(24,764)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1,229,428</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(639,363)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(145,397)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422,764</w:t>
            </w: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214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29"/>
        </w:trPr>
        <w:tc>
          <w:tcPr>
            <w:tcW w:w="3780" w:type="dxa"/>
            <w:vAlign w:val="bottom"/>
          </w:tcPr>
          <w:p>
            <w:pPr>
              <w:spacing w:after="0"/>
              <w:rPr>
                <w:sz w:val="24"/>
                <w:szCs w:val="24"/>
                <w:color w:val="auto"/>
              </w:rPr>
            </w:pPr>
          </w:p>
        </w:tc>
        <w:tc>
          <w:tcPr>
            <w:tcW w:w="2140" w:type="dxa"/>
            <w:vAlign w:val="bottom"/>
            <w:gridSpan w:val="5"/>
          </w:tcPr>
          <w:p>
            <w:pPr>
              <w:ind w:left="6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Retained</w:t>
            </w:r>
          </w:p>
        </w:tc>
        <w:tc>
          <w:tcPr>
            <w:tcW w:w="12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378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180" w:type="dxa"/>
            <w:vAlign w:val="bottom"/>
          </w:tcPr>
          <w:p>
            <w:pPr>
              <w:spacing w:after="0"/>
              <w:rPr>
                <w:sz w:val="6"/>
                <w:szCs w:val="6"/>
                <w:color w:val="auto"/>
              </w:rPr>
            </w:pPr>
          </w:p>
        </w:tc>
        <w:tc>
          <w:tcPr>
            <w:tcW w:w="90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140" w:type="dxa"/>
            <w:vAlign w:val="bottom"/>
          </w:tcPr>
          <w:p>
            <w:pPr>
              <w:spacing w:after="0"/>
              <w:rPr>
                <w:sz w:val="6"/>
                <w:szCs w:val="6"/>
                <w:color w:val="auto"/>
              </w:rPr>
            </w:pPr>
          </w:p>
        </w:tc>
        <w:tc>
          <w:tcPr>
            <w:tcW w:w="94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Earnings /</w:t>
            </w:r>
          </w:p>
        </w:tc>
        <w:tc>
          <w:tcPr>
            <w:tcW w:w="120" w:type="dxa"/>
            <w:vAlign w:val="bottom"/>
          </w:tcPr>
          <w:p>
            <w:pPr>
              <w:spacing w:after="0"/>
              <w:rPr>
                <w:sz w:val="6"/>
                <w:szCs w:val="6"/>
                <w:color w:val="auto"/>
              </w:rPr>
            </w:pPr>
          </w:p>
        </w:tc>
        <w:tc>
          <w:tcPr>
            <w:tcW w:w="100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3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780" w:type="dxa"/>
            <w:vAlign w:val="bottom"/>
          </w:tcPr>
          <w:p>
            <w:pPr>
              <w:spacing w:after="0"/>
              <w:rPr>
                <w:sz w:val="11"/>
                <w:szCs w:val="11"/>
                <w:color w:val="auto"/>
              </w:rPr>
            </w:pPr>
          </w:p>
        </w:tc>
        <w:tc>
          <w:tcPr>
            <w:tcW w:w="10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40" w:type="dxa"/>
            <w:vAlign w:val="bottom"/>
          </w:tcPr>
          <w:p>
            <w:pPr>
              <w:spacing w:after="0"/>
              <w:rPr>
                <w:sz w:val="11"/>
                <w:szCs w:val="11"/>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1"/>
                <w:szCs w:val="11"/>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200" w:type="dxa"/>
            <w:vAlign w:val="bottom"/>
          </w:tcPr>
          <w:p>
            <w:pPr>
              <w:spacing w:after="0"/>
              <w:rPr>
                <w:sz w:val="11"/>
                <w:szCs w:val="11"/>
                <w:color w:val="auto"/>
              </w:rPr>
            </w:pPr>
          </w:p>
        </w:tc>
        <w:tc>
          <w:tcPr>
            <w:tcW w:w="780" w:type="dxa"/>
            <w:vAlign w:val="bottom"/>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8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(Loss) Income</w:t>
            </w:r>
          </w:p>
        </w:tc>
        <w:tc>
          <w:tcPr>
            <w:tcW w:w="200" w:type="dxa"/>
            <w:vAlign w:val="bottom"/>
          </w:tcPr>
          <w:p>
            <w:pPr>
              <w:spacing w:after="0"/>
              <w:rPr>
                <w:sz w:val="12"/>
                <w:szCs w:val="12"/>
                <w:color w:val="auto"/>
              </w:rPr>
            </w:pP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35"/>
        </w:trPr>
        <w:tc>
          <w:tcPr>
            <w:tcW w:w="37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282,830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1,215,178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(654,440)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(92,682)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443,734</w:t>
            </w:r>
          </w:p>
        </w:tc>
        <w:tc>
          <w:tcPr>
            <w:tcW w:w="0" w:type="dxa"/>
            <w:vAlign w:val="bottom"/>
          </w:tcPr>
          <w:p>
            <w:pPr>
              <w:spacing w:after="0"/>
              <w:rPr>
                <w:sz w:val="1"/>
                <w:szCs w:val="1"/>
                <w:color w:val="auto"/>
              </w:rPr>
            </w:pPr>
          </w:p>
        </w:tc>
      </w:tr>
      <w:tr>
        <w:trPr>
          <w:trHeight w:val="19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16,668</w:t>
            </w: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Pension and post-retirement plan adjustments, net of tax</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(50,816)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(50,816)</w:t>
            </w:r>
          </w:p>
        </w:tc>
        <w:tc>
          <w:tcPr>
            <w:tcW w:w="0" w:type="dxa"/>
            <w:vAlign w:val="bottom"/>
          </w:tcPr>
          <w:p>
            <w:pPr>
              <w:spacing w:after="0"/>
              <w:rPr>
                <w:sz w:val="1"/>
                <w:szCs w:val="1"/>
                <w:color w:val="auto"/>
              </w:rPr>
            </w:pPr>
          </w:p>
        </w:tc>
      </w:tr>
      <w:tr>
        <w:trPr>
          <w:trHeight w:val="193"/>
        </w:trPr>
        <w:tc>
          <w:tcPr>
            <w:tcW w:w="3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rate derivatives, net of tax</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15,077</w:t>
            </w: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283,214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(24,764)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1,229,428</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(639,363)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(145,397)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422,764</w:t>
            </w:r>
          </w:p>
        </w:tc>
        <w:tc>
          <w:tcPr>
            <w:tcW w:w="0" w:type="dxa"/>
            <w:vAlign w:val="bottom"/>
          </w:tcPr>
          <w:p>
            <w:pPr>
              <w:spacing w:after="0"/>
              <w:rPr>
                <w:sz w:val="1"/>
                <w:szCs w:val="1"/>
                <w:color w:val="auto"/>
              </w:rPr>
            </w:pPr>
          </w:p>
        </w:tc>
      </w:tr>
      <w:tr>
        <w:trPr>
          <w:trHeight w:val="25"/>
        </w:trPr>
        <w:tc>
          <w:tcPr>
            <w:tcW w:w="37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1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Sotera Health Company (also referred to herein as the “Company,” “we,” “our,” “us” or “its”), is a leading global provider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mission-critical end-to-end sterilization solutions, lab testing and advisory services for the healthcare industry with operations primarily in the Americas, Europe and Asia.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and report in three segments: Sterigenics, Nordion and Nelson Labs. We describe our reportable segments in Note 16, “Segment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 in consolidation.</w:t>
      </w:r>
    </w:p>
    <w:p>
      <w:pPr>
        <w:spacing w:after="0" w:line="205"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In preparing our consolidated financial statements in conformity with U.S. Generally Accepted Accounting Principles (“GAAP”),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estimates and assumptions that affect the amounts reported and the accompanying notes. We regularly evaluate the estimates and assumptions used and revise them as new information becomes available. Actual results may vary from those estimates.</w:t>
      </w:r>
    </w:p>
    <w:p>
      <w:pPr>
        <w:spacing w:after="0" w:line="17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Interim Financial Statements </w:t>
      </w:r>
      <w:r>
        <w:rPr>
          <w:rFonts w:ascii="Times New Roman" w:cs="Times New Roman" w:eastAsia="Times New Roman" w:hAnsi="Times New Roman"/>
          <w:sz w:val="18"/>
          <w:szCs w:val="18"/>
          <w:color w:val="auto"/>
        </w:rPr>
        <w:t>– The accompanying consolidated financial statements include the assets, liabilities, operating results, and cash flows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wholly owned subsidiaries. These financial statements are prepared in accordance with U.S. GAAP for interim financial information and the instructions to the Quarterly Report on Form 10-Q and Rule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have been included. These unaudited interim financial statements should be read in conjunction with the Company's annual consolidated financial statements and accompanying notes in our 2024 10-K.</w:t>
      </w:r>
    </w:p>
    <w:p>
      <w:pPr>
        <w:spacing w:after="0" w:line="28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Standards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Accounting Standard Updates</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year ended December 31, 2024, we adopted Accounting Standards Update (“ASU”) 2023-07, Segment Reporting (Topic 280): Improvements to Reportable Segment Disclosures. The amendments in ASU 2023-07 require an entity to provide enhanced disclosures about significant segment expenses. These interim financial statements reflect these amendments. The adoption of this standard did not have a material impact on our consolidated financial statements and disclosures.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Updates (“ASU”) Issued But Not Yet Adopted</w:t>
      </w:r>
    </w:p>
    <w:p>
      <w:pPr>
        <w:spacing w:after="0" w:line="25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amendments in this ASU require entities to disclose, on an annual basis, specific categories in the reconciliation of the provision (benefit) for income taxes to the statutory rate and provide additional information for reconciling items that meet a quantitative threshold. Additionally, the update requires entities to disclose a disaggregation of taxes paid by category (federal, state and foreign taxes) as well as individual jurisdictions. For public business entities, the amendments in this ASU are effective for annual periods beginning after December 15, 2024 and will be reflected in our Annual Report on Form 10-K for the year ending December 31, 2025. This ASU will increase the tax disclosures in the Company’s Annual Report on Form 10-K, but will not impact reported income tax expense or related tax assets and liabilities.</w:t>
      </w:r>
    </w:p>
    <w:p>
      <w:pPr>
        <w:spacing w:after="0" w:line="2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The amendments in this ASU require entities to disaggregate certain expense captions into specified categories in disclosures within the footnotes to the financial statements. In January 2025, the FASB issued ASU 2025-01, which revises the effective date of ASU 2024-03 and clarifies that entities are required to adopt the guidance in annual reporting periods beginning after December 15, 2026, and interim periods within annual reporting periods beginning after December 15, 2027. The Company is in the process of assessing the impact of this ASU on our disclosures and expects that this ASU will increase disclosures in the annual and interim periods when adopted.</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shows disaggregated net revenues from contracts with external customers by timing of revenue and by segment for the three and six months ended June 30, 2025 and 2024:</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0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500" w:type="dxa"/>
            <w:vAlign w:val="bottom"/>
          </w:tcPr>
          <w:p>
            <w:pPr>
              <w:spacing w:after="0"/>
              <w:rPr>
                <w:sz w:val="13"/>
                <w:szCs w:val="13"/>
                <w:color w:val="auto"/>
              </w:rPr>
            </w:pPr>
          </w:p>
        </w:tc>
      </w:tr>
      <w:tr>
        <w:trPr>
          <w:trHeight w:val="48"/>
        </w:trPr>
        <w:tc>
          <w:tcPr>
            <w:tcW w:w="156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186"/>
        </w:trPr>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14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15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15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Consolidated</w:t>
            </w: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5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Point in time</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194,839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236,210</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58,131</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194,839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42,431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57,071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294,341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186"/>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24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36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Point in time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217,328</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59,266</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176,354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41,244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58,996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276,594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186"/>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24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20" w:type="dxa"/>
            <w:vAlign w:val="bottom"/>
            <w:tcBorders>
              <w:bottom w:val="single" w:sz="8" w:color="CCEEFF"/>
            </w:tcBorders>
          </w:tcPr>
          <w:p>
            <w:pPr>
              <w:spacing w:after="0"/>
              <w:rPr>
                <w:sz w:val="3"/>
                <w:szCs w:val="3"/>
                <w:color w:val="auto"/>
              </w:rPr>
            </w:pPr>
          </w:p>
        </w:tc>
        <w:tc>
          <w:tcPr>
            <w:tcW w:w="5220" w:type="dxa"/>
            <w:vAlign w:val="bottom"/>
            <w:tcBorders>
              <w:bottom w:val="single" w:sz="8" w:color="CCEEFF"/>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Point in time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438,194</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109,353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110,670</w:t>
            </w:r>
          </w:p>
        </w:tc>
      </w:tr>
      <w:tr>
        <w:trPr>
          <w:trHeight w:val="27"/>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364,523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74,988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109,353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548,864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186"/>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24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20" w:type="dxa"/>
            <w:vAlign w:val="bottom"/>
            <w:tcBorders>
              <w:bottom w:val="single" w:sz="8" w:color="CCEEFF"/>
            </w:tcBorders>
          </w:tcPr>
          <w:p>
            <w:pPr>
              <w:spacing w:after="0"/>
              <w:rPr>
                <w:sz w:val="3"/>
                <w:szCs w:val="3"/>
                <w:color w:val="auto"/>
              </w:rPr>
            </w:pPr>
          </w:p>
        </w:tc>
        <w:tc>
          <w:tcPr>
            <w:tcW w:w="5220" w:type="dxa"/>
            <w:vAlign w:val="bottom"/>
            <w:tcBorders>
              <w:bottom w:val="single" w:sz="8" w:color="CCEEFF"/>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Point in time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406,876</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116,668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117,894</w:t>
            </w:r>
          </w:p>
        </w:tc>
      </w:tr>
      <w:tr>
        <w:trPr>
          <w:trHeight w:val="27"/>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342,851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65,251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116,668</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524,770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When we receive consideration from a customer prior to transferring goods or services under the terms of a sales contract, we record deferred revenue, which represents a contract liability. Deferred revenue totaled $11.5 million and $15.1 million at June 30, 2025 and December 31, 2024, respectively. We recognize deferred revenue after we have transferred control of the goods or services to the customer and all revenue recognition criteria are met.</w:t>
      </w:r>
    </w:p>
    <w:p>
      <w:pPr>
        <w:spacing w:after="0" w:line="280"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240"/>
        </w:trPr>
        <w:tc>
          <w:tcPr>
            <w:tcW w:w="2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6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20"/>
                <w:szCs w:val="20"/>
                <w:color w:val="auto"/>
              </w:rPr>
            </w:pPr>
          </w:p>
        </w:tc>
        <w:tc>
          <w:tcPr>
            <w:tcW w:w="15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62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48,911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42,408</w:t>
            </w:r>
          </w:p>
        </w:tc>
      </w:tr>
      <w:tr>
        <w:trPr>
          <w:trHeight w:val="243"/>
        </w:trPr>
        <w:tc>
          <w:tcPr>
            <w:tcW w:w="20" w:type="dxa"/>
            <w:vAlign w:val="bottom"/>
          </w:tcPr>
          <w:p>
            <w:pPr>
              <w:spacing w:after="0"/>
              <w:rPr>
                <w:sz w:val="21"/>
                <w:szCs w:val="21"/>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8,058</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r>
      <w:tr>
        <w:trPr>
          <w:trHeight w:val="236"/>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60,178</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49,376</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excess and obsolete inventory</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63"/>
        </w:trPr>
        <w:tc>
          <w:tcPr>
            <w:tcW w:w="20" w:type="dxa"/>
            <w:vAlign w:val="bottom"/>
          </w:tcPr>
          <w:p>
            <w:pPr>
              <w:spacing w:after="0"/>
              <w:rPr>
                <w:sz w:val="22"/>
                <w:szCs w:val="22"/>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Inventories,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59,949</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49,158</w:t>
            </w: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36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taxes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business insurance</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3,602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rent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5,599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contract assets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28,570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deposits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maintenance contracts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added tax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software licensing</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3,087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supplies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derivatives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9,521</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66,024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51,031</w:t>
            </w:r>
          </w:p>
        </w:tc>
        <w:tc>
          <w:tcPr>
            <w:tcW w:w="0" w:type="dxa"/>
            <w:vAlign w:val="bottom"/>
          </w:tcPr>
          <w:p>
            <w:pPr>
              <w:spacing w:after="0"/>
              <w:rPr>
                <w:sz w:val="1"/>
                <w:szCs w:val="1"/>
                <w:color w:val="auto"/>
              </w:rPr>
            </w:pPr>
          </w:p>
        </w:tc>
      </w:tr>
      <w:tr>
        <w:trPr>
          <w:trHeight w:val="21"/>
        </w:trPr>
        <w:tc>
          <w:tcPr>
            <w:tcW w:w="52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524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Changes to goodwill during the six months ended June 30, 2025 were as follows: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280" w:type="dxa"/>
            <w:vAlign w:val="bottom"/>
          </w:tcPr>
          <w:p>
            <w:pPr>
              <w:spacing w:after="0"/>
              <w:rPr>
                <w:sz w:val="24"/>
                <w:szCs w:val="24"/>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180" w:type="dxa"/>
            <w:vAlign w:val="bottom"/>
          </w:tcPr>
          <w:p>
            <w:pPr>
              <w:spacing w:after="0"/>
              <w:rPr>
                <w:sz w:val="24"/>
                <w:szCs w:val="24"/>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5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Goodwill at December 31, 2024</w:t>
            </w: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20" w:type="dxa"/>
            <w:vAlign w:val="bottom"/>
            <w:gridSpan w:val="3"/>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653,222</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255,485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172,366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1,081,073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due to foreign currency exchange rates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4,184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Goodwill at June 30, 2025</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659,106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268,846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176,550</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1,104,502</w:t>
            </w:r>
          </w:p>
        </w:tc>
        <w:tc>
          <w:tcPr>
            <w:tcW w:w="0" w:type="dxa"/>
            <w:vAlign w:val="bottom"/>
          </w:tcPr>
          <w:p>
            <w:pPr>
              <w:spacing w:after="0"/>
              <w:rPr>
                <w:sz w:val="1"/>
                <w:szCs w:val="1"/>
                <w:color w:val="auto"/>
              </w:rPr>
            </w:pPr>
          </w:p>
        </w:tc>
      </w:tr>
      <w:tr>
        <w:trPr>
          <w:trHeight w:val="20"/>
        </w:trPr>
        <w:tc>
          <w:tcPr>
            <w:tcW w:w="52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Other intangible assets consisted of the following:</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524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20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36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167,468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78,620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Proprietary technology</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37,893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2,548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Land-use rights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8,649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Sealed source and supply agreements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202,780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120,815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4,452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finite-lived intangible assets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423,790</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226,044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20" w:type="dxa"/>
            <w:vAlign w:val="bottom"/>
            <w:gridSpan w:val="2"/>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shd w:val="clear" w:color="auto" w:fill="CCEEFF"/>
          </w:tcPr>
          <w:p>
            <w:pPr>
              <w:spacing w:after="0"/>
              <w:rPr>
                <w:sz w:val="24"/>
                <w:szCs w:val="24"/>
                <w:color w:val="auto"/>
              </w:rPr>
            </w:pPr>
          </w:p>
        </w:tc>
        <w:tc>
          <w:tcPr>
            <w:tcW w:w="52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Regulatory licenses and other</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76,371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Trade names / trademarks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25,992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indefinite-lived intangible assets</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102,363</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526,153</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5"/>
                <w:szCs w:val="15"/>
                <w:color w:val="auto"/>
              </w:rPr>
            </w:pP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Accumulated</w:t>
            </w:r>
          </w:p>
        </w:tc>
      </w:tr>
      <w:tr>
        <w:trPr>
          <w:trHeight w:val="176"/>
        </w:trPr>
        <w:tc>
          <w:tcPr>
            <w:tcW w:w="20" w:type="dxa"/>
            <w:vAlign w:val="bottom"/>
          </w:tcPr>
          <w:p>
            <w:pPr>
              <w:spacing w:after="0"/>
              <w:rPr>
                <w:sz w:val="15"/>
                <w:szCs w:val="15"/>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8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48"/>
        </w:trPr>
        <w:tc>
          <w:tcPr>
            <w:tcW w:w="20" w:type="dxa"/>
            <w:vAlign w:val="bottom"/>
            <w:tcBorders>
              <w:bottom w:val="single" w:sz="8" w:color="CCEEFF"/>
            </w:tcBorders>
          </w:tcPr>
          <w:p>
            <w:pPr>
              <w:spacing w:after="0"/>
              <w:rPr>
                <w:sz w:val="4"/>
                <w:szCs w:val="4"/>
                <w:color w:val="auto"/>
              </w:rPr>
            </w:pPr>
          </w:p>
        </w:tc>
        <w:tc>
          <w:tcPr>
            <w:tcW w:w="1520" w:type="dxa"/>
            <w:vAlign w:val="bottom"/>
            <w:tcBorders>
              <w:top w:val="single" w:sz="8" w:color="auto"/>
              <w:bottom w:val="single" w:sz="8" w:color="CCEEFF"/>
            </w:tcBorders>
          </w:tcPr>
          <w:p>
            <w:pPr>
              <w:spacing w:after="0"/>
              <w:rPr>
                <w:sz w:val="4"/>
                <w:szCs w:val="4"/>
                <w:color w:val="auto"/>
              </w:rPr>
            </w:pPr>
          </w:p>
        </w:tc>
        <w:tc>
          <w:tcPr>
            <w:tcW w:w="67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2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646,965</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537,871</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Proprietary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52,976</w:t>
            </w:r>
          </w:p>
        </w:tc>
      </w:tr>
      <w:tr>
        <w:trPr>
          <w:trHeight w:val="243"/>
        </w:trPr>
        <w:tc>
          <w:tcPr>
            <w:tcW w:w="20" w:type="dxa"/>
            <w:vAlign w:val="bottom"/>
          </w:tcPr>
          <w:p>
            <w:pPr>
              <w:spacing w:after="0"/>
              <w:rPr>
                <w:sz w:val="21"/>
                <w:szCs w:val="21"/>
                <w:color w:val="auto"/>
              </w:rPr>
            </w:pPr>
          </w:p>
        </w:tc>
        <w:tc>
          <w:tcPr>
            <w:tcW w:w="82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Land-use rights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r>
      <w:tr>
        <w:trPr>
          <w:trHeight w:val="243"/>
        </w:trPr>
        <w:tc>
          <w:tcPr>
            <w:tcW w:w="20" w:type="dxa"/>
            <w:vAlign w:val="bottom"/>
          </w:tcPr>
          <w:p>
            <w:pPr>
              <w:spacing w:after="0"/>
              <w:rPr>
                <w:sz w:val="21"/>
                <w:szCs w:val="21"/>
                <w:color w:val="auto"/>
              </w:rPr>
            </w:pPr>
          </w:p>
        </w:tc>
        <w:tc>
          <w:tcPr>
            <w:tcW w:w="82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Sealed source and supply agreements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192,630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110,668</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2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r>
      <w:tr>
        <w:trPr>
          <w:trHeight w:val="237"/>
        </w:trPr>
        <w:tc>
          <w:tcPr>
            <w:tcW w:w="20" w:type="dxa"/>
            <w:vAlign w:val="bottom"/>
          </w:tcPr>
          <w:p>
            <w:pPr>
              <w:spacing w:after="0"/>
              <w:rPr>
                <w:sz w:val="20"/>
                <w:szCs w:val="20"/>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finite-lived intangible assets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928,427</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708,829</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6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51"/>
        </w:trPr>
        <w:tc>
          <w:tcPr>
            <w:tcW w:w="20" w:type="dxa"/>
            <w:vAlign w:val="bottom"/>
            <w:shd w:val="clear" w:color="auto" w:fill="CCEEFF"/>
          </w:tcPr>
          <w:p>
            <w:pPr>
              <w:spacing w:after="0"/>
              <w:rPr>
                <w:sz w:val="24"/>
                <w:szCs w:val="24"/>
                <w:color w:val="auto"/>
              </w:rPr>
            </w:pPr>
          </w:p>
        </w:tc>
        <w:tc>
          <w:tcPr>
            <w:tcW w:w="8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Regulatory licenses and other</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72,550</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82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Trade names / trademarks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8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indefinite-lived intangible assets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1,026,482</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708,829</w:t>
            </w:r>
          </w:p>
        </w:tc>
      </w:tr>
      <w:tr>
        <w:trPr>
          <w:trHeight w:val="21"/>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right="20" w:hanging="332"/>
        <w:spacing w:after="0" w:line="241" w:lineRule="auto"/>
        <w:tabs>
          <w:tab w:leader="none" w:pos="335"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certain transportation certifications, a class 1B nuclear license and other intangible assets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a license can take a significant amount of time and cost; whereas an existing licensee with a historical record of compliance and current operating conditions more than likely ensures renewal for another 10-year license period as Nordion has demonstrated over its 75 years of history.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include the impact of foreign currency translation. Fully amortized amounts are written off.</w:t>
      </w:r>
    </w:p>
    <w:p>
      <w:pPr>
        <w:spacing w:after="0" w:line="225" w:lineRule="exact"/>
        <w:rPr>
          <w:sz w:val="20"/>
          <w:szCs w:val="20"/>
          <w:color w:val="auto"/>
        </w:rPr>
      </w:pPr>
    </w:p>
    <w:p>
      <w:pPr>
        <w:ind w:right="700"/>
        <w:spacing w:after="0" w:line="261" w:lineRule="auto"/>
        <w:rPr>
          <w:sz w:val="20"/>
          <w:szCs w:val="20"/>
          <w:color w:val="auto"/>
        </w:rPr>
      </w:pPr>
      <w:r>
        <w:rPr>
          <w:rFonts w:ascii="Times New Roman" w:cs="Times New Roman" w:eastAsia="Times New Roman" w:hAnsi="Times New Roman"/>
          <w:sz w:val="18"/>
          <w:szCs w:val="18"/>
          <w:color w:val="auto"/>
        </w:rPr>
        <w:t>Amortization expense for finite-lived intangible assets was $11.9 million and $19.8 million for the three months ended June 30, 2025 and 2024, respectively. $9.3 million and $15.4 million was included in “Amortization of intangible assets” in the Consolidated Statements of Operations and Comprehensive Income (Loss) for the three months ended June 30, 2025 and 2024, respectively, whereas the remainder was included in “Cost of revenues.”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Amortization expense for finite-lived intangible assets was $30.6 million and $39.9 million for the six months ended June 30, 2025 and 2024, respectively. $24.6 million and $31.1 million was included in “Amortization of intangible assets” in the Consolidated Statements of Operations and Comprehensive Income (Loss) for the three and six months ended June 30, 2024, respectively, whereas the remainder was included in “Cost of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aggregate amortization expense for finite-lived intangible assets for each of the next five years and thereafter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8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remainder of 2025</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11,294</w:t>
            </w:r>
          </w:p>
        </w:tc>
      </w:tr>
      <w:tr>
        <w:trPr>
          <w:trHeight w:val="24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22,207</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21,130</w:t>
            </w:r>
          </w:p>
        </w:tc>
      </w:tr>
      <w:tr>
        <w:trPr>
          <w:trHeight w:val="24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20,582</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20,473</w:t>
            </w:r>
          </w:p>
        </w:tc>
      </w:tr>
      <w:tr>
        <w:trPr>
          <w:trHeight w:val="243"/>
        </w:trPr>
        <w:tc>
          <w:tcPr>
            <w:tcW w:w="20" w:type="dxa"/>
            <w:vAlign w:val="bottom"/>
          </w:tcPr>
          <w:p>
            <w:pPr>
              <w:spacing w:after="0"/>
              <w:rPr>
                <w:sz w:val="21"/>
                <w:szCs w:val="21"/>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102,060</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8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9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197,746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weighted-average remaining amortization periods of the finite-lived intangible assets by major intangible asset class as of June 30, 2025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4"/>
          </w:tcPr>
          <w:p>
            <w:pPr>
              <w:jc w:val="center"/>
              <w:ind w:left="753"/>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4"/>
          </w:tcPr>
          <w:p>
            <w:pPr>
              <w:jc w:val="center"/>
              <w:ind w:left="733"/>
              <w:spacing w:after="0"/>
              <w:rPr>
                <w:sz w:val="20"/>
                <w:szCs w:val="20"/>
                <w:color w:val="auto"/>
              </w:rPr>
            </w:pPr>
            <w:r>
              <w:rPr>
                <w:rFonts w:ascii="Times New Roman" w:cs="Times New Roman" w:eastAsia="Times New Roman" w:hAnsi="Times New Roman"/>
                <w:sz w:val="18"/>
                <w:szCs w:val="18"/>
                <w:b w:val="1"/>
                <w:bCs w:val="1"/>
                <w:color w:val="auto"/>
                <w:w w:val="99"/>
              </w:rPr>
              <w:t>remaining amortization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center"/>
              <w:ind w:right="732"/>
              <w:spacing w:after="0" w:line="198" w:lineRule="exact"/>
              <w:rPr>
                <w:sz w:val="20"/>
                <w:szCs w:val="20"/>
                <w:color w:val="auto"/>
              </w:rPr>
            </w:pPr>
            <w:r>
              <w:rPr>
                <w:rFonts w:ascii="Times New Roman" w:cs="Times New Roman" w:eastAsia="Times New Roman" w:hAnsi="Times New Roman"/>
                <w:sz w:val="18"/>
                <w:szCs w:val="18"/>
                <w:b w:val="1"/>
                <w:bCs w:val="1"/>
                <w:color w:val="auto"/>
                <w:w w:val="99"/>
              </w:rPr>
              <w:t>period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auto"/>
            </w:tcBorders>
          </w:tcPr>
          <w:p>
            <w:pPr>
              <w:spacing w:after="0"/>
              <w:rPr>
                <w:sz w:val="4"/>
                <w:szCs w:val="4"/>
                <w:color w:val="auto"/>
              </w:rPr>
            </w:pPr>
          </w:p>
        </w:tc>
        <w:tc>
          <w:tcPr>
            <w:tcW w:w="560" w:type="dxa"/>
            <w:vAlign w:val="bottom"/>
            <w:tcBorders>
              <w:top w:val="single" w:sz="8" w:color="auto"/>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Proprietary technology</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Land-use rights</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Sealed source and supply agreements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1"/>
        </w:trPr>
        <w:tc>
          <w:tcPr>
            <w:tcW w:w="47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7.  Accrued Liabilities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20"/>
                <w:szCs w:val="20"/>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gridSpan w:val="2"/>
          </w:tcPr>
          <w:p>
            <w:pPr>
              <w:spacing w:after="0"/>
              <w:rPr>
                <w:sz w:val="3"/>
                <w:szCs w:val="3"/>
                <w:color w:val="auto"/>
              </w:rPr>
            </w:pPr>
          </w:p>
        </w:tc>
        <w:tc>
          <w:tcPr>
            <w:tcW w:w="314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37,018</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 for Illinois EO litigation settlements</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64,943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25,321</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derivatives</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12,572</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utilities</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accrual</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143,542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90,463</w:t>
            </w:r>
          </w:p>
        </w:tc>
        <w:tc>
          <w:tcPr>
            <w:tcW w:w="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Long-Term Debt</w:t>
            </w: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472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Unamortized Debt</w:t>
            </w:r>
          </w:p>
        </w:tc>
        <w:tc>
          <w:tcPr>
            <w:tcW w:w="16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Unamortized Debt</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22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6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40" w:type="dxa"/>
            <w:vAlign w:val="bottom"/>
          </w:tcPr>
          <w:p>
            <w:pPr>
              <w:spacing w:after="0"/>
              <w:rPr>
                <w:sz w:val="16"/>
                <w:szCs w:val="16"/>
                <w:color w:val="auto"/>
              </w:rPr>
            </w:pP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4700" w:type="dxa"/>
            <w:vAlign w:val="bottom"/>
            <w:tcBorders>
              <w:bottom w:val="single" w:sz="8" w:color="CCEEFF"/>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notes due 2031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750,000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746,582</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Term loan due 2031</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1,498,030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1,470,889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2,248,030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2,217,471</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15,094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2,232,936</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(20,927)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2,202,651</w:t>
            </w:r>
          </w:p>
        </w:tc>
        <w:tc>
          <w:tcPr>
            <w:tcW w:w="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3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Unamortized Debt</w:t>
            </w:r>
          </w:p>
        </w:tc>
        <w:tc>
          <w:tcPr>
            <w:tcW w:w="16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Unamortized Debt</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0"/>
        </w:trPr>
        <w:tc>
          <w:tcPr>
            <w:tcW w:w="20" w:type="dxa"/>
            <w:vAlign w:val="bottom"/>
          </w:tcPr>
          <w:p>
            <w:pPr>
              <w:spacing w:after="0"/>
              <w:rPr>
                <w:sz w:val="16"/>
                <w:szCs w:val="16"/>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6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260" w:type="dxa"/>
            <w:vAlign w:val="bottom"/>
          </w:tcPr>
          <w:p>
            <w:pPr>
              <w:spacing w:after="0"/>
              <w:rPr>
                <w:sz w:val="16"/>
                <w:szCs w:val="16"/>
                <w:color w:val="auto"/>
              </w:rPr>
            </w:pPr>
          </w:p>
        </w:tc>
        <w:tc>
          <w:tcPr>
            <w:tcW w:w="13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Net Amount</w:t>
            </w:r>
          </w:p>
        </w:tc>
      </w:tr>
      <w:tr>
        <w:trPr>
          <w:trHeight w:val="37"/>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3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notes due 2031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746,293</w:t>
            </w: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due 2031</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1,505,577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1,476,610</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2,255,577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2,222,903</w:t>
            </w: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14,803</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2,240,483</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2,208,100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Facilities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Credit Facilities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December 13, 2019,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(as amended through Amendment No. 5 (as defined below), the “Credit Agreement”). Amendment No. 5 increased the total borrowing capacity under the Revolving Credit Facility to $600.0 million. The Senior Secured Credit Facilities also provide SHH the right at any time and under certain conditions to request incremental term loans or incremental revolving credit commitments based on a formula defined in the Senior Secured Credit Facilities.</w:t>
      </w:r>
    </w:p>
    <w:p>
      <w:pPr>
        <w:spacing w:after="0" w:line="2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April 30, 2025, the Company and SHH entered into Amendment No. 5 (“Amendment No. 5”) to the Revolving Credit Facility. Among other changes, Amendment No. 5 provides (i) for an increase in the commitments under the existing Revolving Credit Facility in an aggregate principal amount of $176.2 million, (ii) that certain lenders providing revolving credit commitments shall also provide additional commitments for the issuance of letters of credit under the Revolving Credit Facility in an aggregate principal amount of $186.3 million and (iii) for the extension of the maturity date of the Revolving Credit Facility to April 30, 2030. Amendment No. 5 does not give effect to any other material changes to the terms and conditions of the Credit Agreement, including with respect to the representations and warranties, events of default and the affirmative or negative covenants.</w:t>
      </w:r>
    </w:p>
    <w:p>
      <w:pPr>
        <w:spacing w:after="0" w:line="2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May 30, 2024, the Company and SHH entered into Amendment No. 4 (“Amendment No. 4”) to the Senior Secured Credit Facilities. Among other changes, Amendment No. 4 provides for term loans (the “Refinancing Term Loans”) to SHH in an aggregate principal amount of $1,509.4 million. Pursuant to Amendment No. 4, the Refinancing Term Loans shall have an applicable interest rate margin per annum equal to (i) ABR plus 2.25% for ABR Loans (as defined in the Credit Agreement), (ii) daily simple Secured Overnight Financing Rate (“SOFR”) plus 3.25% for RFR Loans (as defined in the Credit Agreement) and (iii) Term SOFR plus 3.25% for Term Benchmark Loans (as defined in the Credit Agreement), in each case with a 0.00% applicable floor and the applicable interest rate margin shall be subject to a pricing step-down of 0.25% when the Senior Secured Leverage Ratio (as defined in the Credit Agreement) is less than or equal to 3.30:1.00. The Refinancing Term Loans amortize at a rate of 1.00% per annum and mature on May 30, 2031. The weighted average interest rates on borrowings under the Refinancing Term Loans for the three months ended June 30, 2025 and 2024 was 7.55% and 8.58%, respectively, and 7.60% and 8.58% for the six months ended June 30, 2025 and 2024, respectively.</w:t>
      </w:r>
    </w:p>
    <w:p>
      <w:pPr>
        <w:spacing w:after="0" w:line="21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On May 30, 2024, SHH, the Company, certain subsidiaries of the Company (the “Guarantors”), and Wilmington Trust, National Association, as trustee, paying agent, registrar, transfer agent and notes collateral agent, entered into an Indenture (the “Indenture”) governing SHH’s $750.0 million aggregate principal amount of 7.375% senior secured notes due 2031 (the “Secured Notes”) issued in May 2024. The Secured Notes pay interest semiannually in arrears on June 1 and December 1 of each year, which began on December 1, 2024, at a rate of 7.375% per year, and will mature on June 1, 2031. The Secured Notes may be redeemed, at any time or from time to time, in whole or in part, on or after June 1, 2027 at the redemption prices specified in the Indenture, together with accrued and unpaid interest, if any, thereon to, but excluding, the redemption date. At any time or from time to time, prior to June 1, 2027, the Secured Notes may be redeemed, in whole or in part, at a redemption price equal to 100% of the aggregate principal amount thereof plus a make-whole premium, together with accrued and unpaid interest, if any, thereon to, but excluding, the redemption date. In addition, at any time or from time to time, prior to June 1, 2027, SHH may redeem up to 40% of the aggregate principal amount of the Secured Notes (including any additional Secured Notes issued under the Indenture) with an amount not to exceed the net cash proceeds from certain equity offerings at a</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redemption price equal to 107.375% of the aggregate principal amount thereof plus accrued and unpaid interest, if any, thereon to, but excluding, the redemption date. Further, at any time or from time to time, on or before June 1, 2027, SHH may redeem up to 10% of the then outstanding aggregate principal amount of Secured Notes (including any additional Secured Notes issued under the Indenture) during each of the twelve-month periods ending after the issue date, at a redemption price equal to 103% of the aggregate principal amount thereof, plus accrued and unpaid interest, if any, thereon to, but excluding, the redemption date.</w:t>
      </w:r>
    </w:p>
    <w:p>
      <w:pPr>
        <w:spacing w:after="0" w:line="21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The obligations under the Indenture are secured on a first-lien basis by security interests in substantially all of the assets of SHH, the Company and the Guarantors (other than any excluded assets) that secure the Credit Agreement on a pari passu basis, subject to certain limitations, exceptions and permitted liens. These obligations are secured pursuant to a security agreement, dated as of May 30, 2024, by and among SHH, the Company, the other grantors party thereto, and Wilmington Trust, National Association (the “Security Agreement”), as may be amended from time to time, and related financing statements.</w:t>
      </w:r>
    </w:p>
    <w:p>
      <w:pPr>
        <w:spacing w:after="0" w:line="16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used the combined net proceeds from the Refinancing Term Loans and Secured Notes, along with cash on hand, to refinance its previously outstanding $1,763.1 million Term Loan due 2026 and $496.3 million Term Loan B due 2026.</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March 1, 2024, the Company and SHH entered into Amendment No. 3 (“Amendment No. 3”) to the Revolving Credit Facility. Among other changes, Amendment No. 3 provides (i) for new commitments under the existing Revolving Credit Facility to replace existing revolving commitments in an aggregate principal amount of $83.0 million, (ii) that certain of the lenders providing revolving credit commitments shall also provide additional commitments for the issuance of letters of credit under the Revolving Credit Facility in an aggregate principal amount of $37.5 million and (iii) for the extension of the maturity date of the Revolving Credit Facility to March 1, 2029.</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Senior Secured Credit Facilities and the Indenture contain additional covenants that, among other things, restrict, subject to certain exceptions, limitations and qualifications, our ability and the ability of our restricted subsidiaries to engage in certain activities, such as incur additional indebtedness or permit to exist any lien on any property or asset now owned or hereafter acquired, as specified in the Senior Secured Credit Facilities and the Indenture. The Senior Secured Credit Facilities and the Indenture also contain certain customary affirmative covenants and events of default, including upon a change of control. In addition, an event of default under the Senior Secured Credit Facilities and the Indenture would occur if the Company or certain of its subsidiaries received one or more enforceable judgments for payment in an aggregate amount in excess of the greater of (i) $162.6 million or (ii) 30.0% of consolidated EBITDA or LTM EBITDA (as defined in the Credit Agreement and the Indenture, respectively) and the judgments were not stayed or remained undischarged for a period of 60 consecutive days. As of June 30, 2025, we were in compliance with all of the covenants under the Senior Secured Credit Facilities and the Indenture.</w:t>
      </w:r>
    </w:p>
    <w:p>
      <w:pPr>
        <w:spacing w:after="0" w:line="18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All of SHH’s obligations under the Senior Secured Credit Facilities and the Indenture are unconditionally guaranteed by the Company and each existing and subsequently acquired or organized direct or indirect wholly 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Indenture, and the guarantees of such obligations, are secured by substantially all assets of SHH and the guarantors, subject to permitted liens and other exceptions and exclusions, as outlined in the Senior Secured Credit Facilities, the Indenture and the Security Agreement.</w:t>
      </w:r>
    </w:p>
    <w:p>
      <w:pPr>
        <w:spacing w:after="0" w:line="18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Outstanding letters of credit are collateralized by encumbrances against the Revolving Credit Facility and the collateral pledged thereunder, or by cash placed on deposit with the issuing bank. As of June 30, 2025, the Company had $14.2 million of letters of credit issued against the Revolving Credit Facility, resulting in total availability under the Revolving Credit Facility of $585.8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Interest Rate Risk Management</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interest rate derivatives to reduce the variability of cash flows in the interest payments associated with our variable rate debt due to changes in SOFR. For additional information on the derivative instruments described above, refer to Note 15, “Financial Instruments and Financial Risk”— </w:t>
      </w:r>
      <w:r>
        <w:rPr>
          <w:rFonts w:ascii="Times New Roman" w:cs="Times New Roman" w:eastAsia="Times New Roman" w:hAnsi="Times New Roman"/>
          <w:sz w:val="18"/>
          <w:szCs w:val="18"/>
          <w:i w:val="1"/>
          <w:iCs w:val="1"/>
          <w:color w:val="auto"/>
        </w:rPr>
        <w:t>“Derivative Instruments.”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Aggregate Maturities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maturities of the Company’s long-term debt, excluding debt issuance costs and discounts, as of June 30, 2025,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47"/>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8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7,547</w:t>
            </w:r>
          </w:p>
        </w:tc>
      </w:tr>
      <w:tr>
        <w:trPr>
          <w:trHeight w:val="24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15,094</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15,094</w:t>
            </w:r>
          </w:p>
        </w:tc>
      </w:tr>
      <w:tr>
        <w:trPr>
          <w:trHeight w:val="24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15,094</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15,094</w:t>
            </w:r>
          </w:p>
        </w:tc>
      </w:tr>
      <w:tr>
        <w:trPr>
          <w:trHeight w:val="243"/>
        </w:trPr>
        <w:tc>
          <w:tcPr>
            <w:tcW w:w="20" w:type="dxa"/>
            <w:vAlign w:val="bottom"/>
          </w:tcPr>
          <w:p>
            <w:pPr>
              <w:spacing w:after="0"/>
              <w:rPr>
                <w:sz w:val="21"/>
                <w:szCs w:val="21"/>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2,180,107</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9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2,248,030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Income tax expense is provided on an interim basis based upon our estimate of the annual effective income tax rate. In determining the estimated annual effective income tax rate, we analyze various factors, including projections of our annual earnings and the taxing jurisdictions where the earnings will occur, the impact of state and local taxes, our ability to utilize tax credits and net operating loss carryforwards and available tax planning alternatives.</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Income tax expense for the three and six months ended June 30, 2025 differed from the statutory rate primarily due to the valuation allowance attributable to the limitation on the deductibility of interest expense, the impact of the foreign rate differential and current year permanent tax differences, partially offset by a benefit for state income taxes. Income tax expense for the three and six months ended June 30, 2024 differed from the statutory rate primarily due to the valuation allowance attributable to the limitation on the deductibility of interest expense and the impact of the foreign rate differential, partially offset by a benefit for state income taxes.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Employee Benefits</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 sponsors various post-employment benefit plans including, in certain countries outside the U.S., defined benefit and defined contribution pension plans, retirement compensation arrangements, and plans that provide extended health care coverage to retired employees, the majority of which relate to Nordion.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pension plan</w:t>
      </w:r>
    </w:p>
    <w:p>
      <w:pPr>
        <w:spacing w:after="0" w:line="11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following defined benefit pension plan disclosure relates to Nordion. Certain immaterial foreign defined benefit pension plans have been excluded from the table below. The interest cost, expected return on plan assets and amortization of net actuarial gain are recorded in “Other income, net” and the service cost component is included in the same financial statement line item as the applicable employee’s wages in the Consolidated Statements of Operations and Comprehensive Income (Loss). The components of net periodic pension benefit for the defined benefit plans for the three and six months ended June 30, 2025 and 2024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1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475"/>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96"/>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94"/>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4,701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(7,848)</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periodic benefit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(2,902)</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36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currently has no funding requirements as the Nordion pension plan has a going concern surplus as defined by Canadian federal regulation, which requires solvency testing on defined benefit pension plans on an annual basis.</w:t>
      </w:r>
    </w:p>
    <w:p>
      <w:pPr>
        <w:spacing w:after="0" w:line="162"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The Company may obtain a qualifying letter of credit for solvency payments, up to 15% of the market value of solvency liabilities as determined on the valuation date, instead of paying cash into the pension fund. As of June 30, 2025 and December 31, 2024, we had letters of credit outstanding relating to the defined benefit plans totaling $6.5 million and $6.4 million, respectively.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benefit plans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Other benefit plans disclosed below relate to Nordion and include a supplemental retirement arrangement, a retirement and termination allowance, and post-retirement benefit plans, which include contributory health and dental care benefits and contributory life insurance coverage. Certain immaterial other foreign benefit plans have been excluded from the table below. All non-pension post-employment benefit plans are unfunded. The components of net periodic pension cost for the other benefit plans for the three and six months ended June 30, 2025 and 2024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52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0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180" w:type="dxa"/>
            <w:vAlign w:val="bottom"/>
            <w:gridSpan w:val="2"/>
            <w:vMerge w:val="continue"/>
          </w:tcPr>
          <w:p>
            <w:pPr>
              <w:spacing w:after="0"/>
              <w:rPr>
                <w:sz w:val="13"/>
                <w:szCs w:val="13"/>
                <w:color w:val="auto"/>
              </w:rPr>
            </w:pPr>
          </w:p>
        </w:tc>
        <w:tc>
          <w:tcPr>
            <w:tcW w:w="1000" w:type="dxa"/>
            <w:vAlign w:val="bottom"/>
          </w:tcPr>
          <w:p>
            <w:pPr>
              <w:jc w:val="right"/>
              <w:ind w:right="59"/>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39"/>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actuarial gain</w:t>
            </w:r>
          </w:p>
        </w:tc>
        <w:tc>
          <w:tcPr>
            <w:tcW w:w="10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Comprehensive Income (Loss)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Amounts in accumulated other comprehensive income (loss) are presented net of the related tax. Foreign currency translation is not adjusted for income taxes.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accumulated other comprehensive income (loss) balances, net of applicable tax,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Defined</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Foreign</w:t>
            </w:r>
          </w:p>
        </w:tc>
        <w:tc>
          <w:tcPr>
            <w:tcW w:w="18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40" w:type="dxa"/>
            <w:vAlign w:val="bottom"/>
          </w:tcPr>
          <w:p>
            <w:pPr>
              <w:spacing w:after="0"/>
              <w:rPr>
                <w:sz w:val="15"/>
                <w:szCs w:val="15"/>
                <w:color w:val="auto"/>
              </w:rPr>
            </w:pPr>
          </w:p>
        </w:tc>
        <w:tc>
          <w:tcPr>
            <w:tcW w:w="1400" w:type="dxa"/>
            <w:vAlign w:val="bottom"/>
            <w:gridSpan w:val="2"/>
          </w:tcPr>
          <w:p>
            <w:pPr>
              <w:jc w:val="center"/>
              <w:ind w:right="580"/>
              <w:spacing w:after="0" w:line="178" w:lineRule="exact"/>
              <w:rPr>
                <w:sz w:val="20"/>
                <w:szCs w:val="20"/>
                <w:color w:val="auto"/>
              </w:rPr>
            </w:pPr>
            <w:r>
              <w:rPr>
                <w:rFonts w:ascii="Times New Roman" w:cs="Times New Roman" w:eastAsia="Times New Roman" w:hAnsi="Times New Roman"/>
                <w:sz w:val="16"/>
                <w:szCs w:val="16"/>
                <w:b w:val="1"/>
                <w:bCs w:val="1"/>
                <w:color w:val="auto"/>
              </w:rPr>
              <w:t>Plans</w:t>
            </w:r>
          </w:p>
        </w:tc>
        <w:tc>
          <w:tcPr>
            <w:tcW w:w="180" w:type="dxa"/>
            <w:vAlign w:val="bottom"/>
          </w:tcPr>
          <w:p>
            <w:pPr>
              <w:spacing w:after="0"/>
              <w:rPr>
                <w:sz w:val="15"/>
                <w:szCs w:val="15"/>
                <w:color w:val="auto"/>
              </w:rPr>
            </w:pPr>
          </w:p>
        </w:tc>
        <w:tc>
          <w:tcPr>
            <w:tcW w:w="1240" w:type="dxa"/>
            <w:vAlign w:val="bottom"/>
            <w:gridSpan w:val="2"/>
          </w:tcPr>
          <w:p>
            <w:pPr>
              <w:jc w:val="center"/>
              <w:ind w:right="280"/>
              <w:spacing w:after="0" w:line="17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80" w:type="dxa"/>
            <w:vAlign w:val="bottom"/>
          </w:tcPr>
          <w:p>
            <w:pPr>
              <w:spacing w:after="0"/>
              <w:rPr>
                <w:sz w:val="15"/>
                <w:szCs w:val="15"/>
                <w:color w:val="auto"/>
              </w:rPr>
            </w:pPr>
          </w:p>
        </w:tc>
        <w:tc>
          <w:tcPr>
            <w:tcW w:w="1140" w:type="dxa"/>
            <w:vAlign w:val="bottom"/>
          </w:tcPr>
          <w:p>
            <w:pPr>
              <w:jc w:val="center"/>
              <w:ind w:right="112"/>
              <w:spacing w:after="0" w:line="178" w:lineRule="exact"/>
              <w:rPr>
                <w:sz w:val="20"/>
                <w:szCs w:val="20"/>
                <w:color w:val="auto"/>
              </w:rPr>
            </w:pPr>
            <w:r>
              <w:rPr>
                <w:rFonts w:ascii="Times New Roman" w:cs="Times New Roman" w:eastAsia="Times New Roman" w:hAnsi="Times New Roman"/>
                <w:sz w:val="16"/>
                <w:szCs w:val="16"/>
                <w:b w:val="1"/>
                <w:bCs w:val="1"/>
                <w:color w:val="auto"/>
              </w:rPr>
              <w:t>Derivatives</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 April 1, 2025</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1,175</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(189,453)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4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82,217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(874)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81,432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reclassifications</w:t>
            </w:r>
          </w:p>
        </w:tc>
        <w:tc>
          <w:tcPr>
            <w:tcW w:w="2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40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rPr>
              <w:t xml:space="preserve">(18) </w:t>
            </w:r>
            <w:r>
              <w:rPr>
                <w:rFonts w:ascii="Times New Roman" w:cs="Times New Roman" w:eastAsia="Times New Roman" w:hAnsi="Times New Roman"/>
                <w:sz w:val="11"/>
                <w:szCs w:val="11"/>
                <w:color w:val="auto"/>
              </w:rPr>
              <w:t>(a)</w:t>
            </w:r>
          </w:p>
        </w:tc>
        <w:tc>
          <w:tcPr>
            <w:tcW w:w="180" w:type="dxa"/>
            <w:vAlign w:val="bottom"/>
            <w:shd w:val="clear" w:color="auto" w:fill="CCEEFF"/>
          </w:tcPr>
          <w:p>
            <w:pPr>
              <w:spacing w:after="0"/>
              <w:rPr>
                <w:sz w:val="19"/>
                <w:szCs w:val="19"/>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51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vMerge w:val="continue"/>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vMerge w:val="continue"/>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vMerge w:val="continue"/>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w w:val="99"/>
              </w:rPr>
              <w:t>(b)</w:t>
            </w:r>
          </w:p>
        </w:tc>
        <w:tc>
          <w:tcPr>
            <w:tcW w:w="1020" w:type="dxa"/>
            <w:vAlign w:val="bottom"/>
            <w:tcBorders>
              <w:bottom w:val="single" w:sz="8" w:color="CCEEFF"/>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82,217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(1,123)</w:t>
            </w:r>
          </w:p>
        </w:tc>
        <w:tc>
          <w:tcPr>
            <w:tcW w:w="3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81,165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 June 30, 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1,246</w:t>
            </w:r>
          </w:p>
        </w:tc>
        <w:tc>
          <w:tcPr>
            <w:tcW w:w="3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(107,889)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(1,645)</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(108,288)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Borders>
              <w:bottom w:val="single" w:sz="8" w:color="CCEEFF"/>
            </w:tcBorders>
          </w:tcPr>
          <w:p>
            <w:pPr>
              <w:spacing w:after="0"/>
              <w:rPr>
                <w:sz w:val="9"/>
                <w:szCs w:val="9"/>
                <w:color w:val="auto"/>
              </w:rPr>
            </w:pPr>
          </w:p>
        </w:tc>
        <w:tc>
          <w:tcPr>
            <w:tcW w:w="1560" w:type="dxa"/>
            <w:vAlign w:val="bottom"/>
            <w:tcBorders>
              <w:bottom w:val="single" w:sz="8" w:color="CCEEFF"/>
            </w:tcBorders>
          </w:tcPr>
          <w:p>
            <w:pPr>
              <w:spacing w:after="0"/>
              <w:rPr>
                <w:sz w:val="9"/>
                <w:szCs w:val="9"/>
                <w:color w:val="auto"/>
              </w:rPr>
            </w:pPr>
          </w:p>
        </w:tc>
        <w:tc>
          <w:tcPr>
            <w:tcW w:w="362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 January 1, 2025</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1,165</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(209,666)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(208,251)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4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101,777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(1,394)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100,500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reclassifications</w:t>
            </w:r>
          </w:p>
        </w:tc>
        <w:tc>
          <w:tcPr>
            <w:tcW w:w="2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40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rPr>
              <w:t xml:space="preserve">(36) </w:t>
            </w:r>
            <w:r>
              <w:rPr>
                <w:rFonts w:ascii="Times New Roman" w:cs="Times New Roman" w:eastAsia="Times New Roman" w:hAnsi="Times New Roman"/>
                <w:sz w:val="11"/>
                <w:szCs w:val="11"/>
                <w:color w:val="auto"/>
              </w:rPr>
              <w:t>(a)</w:t>
            </w:r>
          </w:p>
        </w:tc>
        <w:tc>
          <w:tcPr>
            <w:tcW w:w="180" w:type="dxa"/>
            <w:vAlign w:val="bottom"/>
            <w:shd w:val="clear" w:color="auto" w:fill="CCEEFF"/>
          </w:tcPr>
          <w:p>
            <w:pPr>
              <w:spacing w:after="0"/>
              <w:rPr>
                <w:sz w:val="19"/>
                <w:szCs w:val="19"/>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51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vMerge w:val="continue"/>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vMerge w:val="continue"/>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vMerge w:val="continue"/>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w w:val="99"/>
              </w:rPr>
              <w:t>(b)</w:t>
            </w:r>
          </w:p>
        </w:tc>
        <w:tc>
          <w:tcPr>
            <w:tcW w:w="1020" w:type="dxa"/>
            <w:vAlign w:val="bottom"/>
            <w:tcBorders>
              <w:bottom w:val="single" w:sz="8" w:color="CCEEFF"/>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101,777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(1,895)</w:t>
            </w:r>
          </w:p>
        </w:tc>
        <w:tc>
          <w:tcPr>
            <w:tcW w:w="3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99,963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 June 30, 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1,246</w:t>
            </w:r>
          </w:p>
        </w:tc>
        <w:tc>
          <w:tcPr>
            <w:tcW w:w="3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(107,889)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(1,645)</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(108,288)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Defined</w:t>
            </w:r>
          </w:p>
        </w:tc>
        <w:tc>
          <w:tcPr>
            <w:tcW w:w="1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300" w:type="dxa"/>
            <w:vAlign w:val="bottom"/>
          </w:tcPr>
          <w:p>
            <w:pPr>
              <w:spacing w:after="0"/>
              <w:rPr>
                <w:sz w:val="17"/>
                <w:szCs w:val="17"/>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2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40" w:type="dxa"/>
            <w:vAlign w:val="bottom"/>
          </w:tcPr>
          <w:p>
            <w:pPr>
              <w:spacing w:after="0"/>
              <w:rPr>
                <w:sz w:val="14"/>
                <w:szCs w:val="14"/>
                <w:color w:val="auto"/>
              </w:rPr>
            </w:pPr>
          </w:p>
        </w:tc>
        <w:tc>
          <w:tcPr>
            <w:tcW w:w="140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6"/>
                <w:szCs w:val="16"/>
                <w:b w:val="1"/>
                <w:bCs w:val="1"/>
                <w:color w:val="auto"/>
              </w:rPr>
              <w:t>Plans</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6"/>
                <w:szCs w:val="16"/>
                <w:b w:val="1"/>
                <w:bCs w:val="1"/>
                <w:color w:val="auto"/>
              </w:rPr>
              <w:t>Derivatives</w:t>
            </w: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8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 April 1, 2024</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rPr>
              <w:t>6,065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(119,856)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reclassifications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54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1"/>
                <w:szCs w:val="11"/>
                <w:color w:val="auto"/>
              </w:rPr>
              <w:t>(a)</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ind w:left="492"/>
              <w:spacing w:after="0"/>
              <w:rPr>
                <w:sz w:val="20"/>
                <w:szCs w:val="20"/>
                <w:color w:val="auto"/>
              </w:rPr>
            </w:pPr>
            <w:r>
              <w:rPr>
                <w:rFonts w:ascii="Times New Roman" w:cs="Times New Roman" w:eastAsia="Times New Roman" w:hAnsi="Times New Roman"/>
                <w:sz w:val="18"/>
                <w:szCs w:val="18"/>
                <w:color w:val="auto"/>
                <w:w w:val="98"/>
              </w:rPr>
              <w:t>(3,638)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center"/>
              <w:ind w:left="492"/>
              <w:spacing w:after="0"/>
              <w:rPr>
                <w:sz w:val="20"/>
                <w:szCs w:val="20"/>
                <w:color w:val="auto"/>
              </w:rPr>
            </w:pPr>
            <w:r>
              <w:rPr>
                <w:rFonts w:ascii="Times New Roman" w:cs="Times New Roman" w:eastAsia="Times New Roman" w:hAnsi="Times New Roman"/>
                <w:sz w:val="18"/>
                <w:szCs w:val="18"/>
                <w:color w:val="auto"/>
                <w:w w:val="98"/>
              </w:rPr>
              <w:t>(2,461)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 June 30, 2024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3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rPr>
              <w:t>3,604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Borders>
              <w:bottom w:val="single" w:sz="8" w:color="CCEEFF"/>
            </w:tcBorders>
          </w:tcPr>
          <w:p>
            <w:pPr>
              <w:spacing w:after="0"/>
              <w:rPr>
                <w:sz w:val="9"/>
                <w:szCs w:val="9"/>
                <w:color w:val="auto"/>
              </w:rPr>
            </w:pPr>
          </w:p>
        </w:tc>
        <w:tc>
          <w:tcPr>
            <w:tcW w:w="1560" w:type="dxa"/>
            <w:vAlign w:val="bottom"/>
            <w:tcBorders>
              <w:bottom w:val="single" w:sz="8" w:color="CCEEFF"/>
            </w:tcBorders>
          </w:tcPr>
          <w:p>
            <w:pPr>
              <w:spacing w:after="0"/>
              <w:rPr>
                <w:sz w:val="9"/>
                <w:szCs w:val="9"/>
                <w:color w:val="auto"/>
              </w:rPr>
            </w:pPr>
          </w:p>
        </w:tc>
        <w:tc>
          <w:tcPr>
            <w:tcW w:w="386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 January 1, 2024</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rPr>
              <w:t>5,646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(92,682)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reclassifications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rPr>
              <w:t>5,228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54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1"/>
                <w:szCs w:val="11"/>
                <w:color w:val="auto"/>
              </w:rPr>
              <w:t>(a)</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ind w:left="492"/>
              <w:spacing w:after="0"/>
              <w:rPr>
                <w:sz w:val="20"/>
                <w:szCs w:val="20"/>
                <w:color w:val="auto"/>
              </w:rPr>
            </w:pPr>
            <w:r>
              <w:rPr>
                <w:rFonts w:ascii="Times New Roman" w:cs="Times New Roman" w:eastAsia="Times New Roman" w:hAnsi="Times New Roman"/>
                <w:sz w:val="18"/>
                <w:szCs w:val="18"/>
                <w:color w:val="auto"/>
                <w:w w:val="98"/>
              </w:rPr>
              <w:t>(7,270)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center"/>
              <w:ind w:left="492"/>
              <w:spacing w:after="0"/>
              <w:rPr>
                <w:sz w:val="20"/>
                <w:szCs w:val="20"/>
                <w:color w:val="auto"/>
              </w:rPr>
            </w:pPr>
            <w:r>
              <w:rPr>
                <w:rFonts w:ascii="Times New Roman" w:cs="Times New Roman" w:eastAsia="Times New Roman" w:hAnsi="Times New Roman"/>
                <w:sz w:val="18"/>
                <w:szCs w:val="18"/>
                <w:color w:val="auto"/>
                <w:w w:val="98"/>
              </w:rPr>
              <w:t>(2,042)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 June 30, 2024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3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rPr>
              <w:t>3,604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500" w:right="500" w:hanging="492"/>
        <w:spacing w:after="0" w:line="282" w:lineRule="auto"/>
        <w:tabs>
          <w:tab w:leader="none" w:pos="49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defined benefit pension plans, amounts reclassified from accumulated other comprehensive income (loss) are recorded to “Other (income) expense, net” within the Consolidated Statements of Operations and Comprehensive Income (Loss).</w:t>
      </w:r>
    </w:p>
    <w:p>
      <w:pPr>
        <w:spacing w:after="0" w:line="53" w:lineRule="exact"/>
        <w:rPr>
          <w:rFonts w:ascii="Times New Roman" w:cs="Times New Roman" w:eastAsia="Times New Roman" w:hAnsi="Times New Roman"/>
          <w:sz w:val="18"/>
          <w:szCs w:val="18"/>
          <w:color w:val="auto"/>
        </w:rPr>
      </w:pPr>
    </w:p>
    <w:p>
      <w:pPr>
        <w:ind w:left="500" w:right="500" w:hanging="492"/>
        <w:spacing w:after="0" w:line="282" w:lineRule="auto"/>
        <w:tabs>
          <w:tab w:leader="none" w:pos="49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interest rate derivatives, amounts reclassified from accumulated other comprehensive income (loss) are recorded to “Interest expense, net” within the Consolidated Statements of Operations and Comprehensive Income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Pre-IPO Awards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Restricted stock distributed in respect of pre-IPO Class B-1 time vesting units vests on a daily basis pro rata over a five-year vesting period (20% per year) beginning on the original vesting commencement date of the corresponding Class B-1 time vesting units, subject to the grantee’s continued services through each vesting date. Upon the occurrence of a change in control of the Company, all then outstanding unvested shares of our common stock distributed in respect of Class B-1 Units will vest as of the date of consummation of such change in control, subject to the grantee’s continued services through the consummation of the change in control.</w:t>
      </w:r>
    </w:p>
    <w:p>
      <w:pPr>
        <w:spacing w:after="0" w:line="18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recognized $0.2 million and $0.4 million of share-based compensation expense related to the pre-IPO Class B-1 awards for the three months ended June 30, 2025 and 2024, respectively, and $0.5 million and $0.8 million for the six months ended June 30, 2025 and 2024,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 summary of the activity for the six months ended June 30, 2025 related to the restricted stock awards distributed in respect of the pre-IPO awards (Class B-1) is presented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56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w:t>
            </w:r>
          </w:p>
        </w:tc>
      </w:tr>
      <w:tr>
        <w:trPr>
          <w:trHeight w:val="176"/>
        </w:trPr>
        <w:tc>
          <w:tcPr>
            <w:tcW w:w="956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 Pre-</w:t>
            </w:r>
          </w:p>
        </w:tc>
      </w:tr>
      <w:tr>
        <w:trPr>
          <w:trHeight w:val="190"/>
        </w:trPr>
        <w:tc>
          <w:tcPr>
            <w:tcW w:w="95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IPO B-1</w:t>
            </w:r>
          </w:p>
        </w:tc>
      </w:tr>
      <w:tr>
        <w:trPr>
          <w:trHeight w:val="23"/>
        </w:trPr>
        <w:tc>
          <w:tcPr>
            <w:tcW w:w="95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71,451</w:t>
            </w:r>
          </w:p>
        </w:tc>
      </w:tr>
      <w:tr>
        <w:trPr>
          <w:trHeight w:val="243"/>
        </w:trPr>
        <w:tc>
          <w:tcPr>
            <w:tcW w:w="9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(69,556)</w:t>
            </w:r>
          </w:p>
        </w:tc>
      </w:tr>
      <w:tr>
        <w:trPr>
          <w:trHeight w:val="27"/>
        </w:trPr>
        <w:tc>
          <w:tcPr>
            <w:tcW w:w="95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8"/>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June 30,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1,895</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Omnibus Incentive Plan</w:t>
      </w:r>
    </w:p>
    <w:p>
      <w:pPr>
        <w:spacing w:after="0" w:line="229"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8"/>
          <w:szCs w:val="18"/>
          <w:color w:val="auto"/>
        </w:rPr>
        <w:t>We maintain a long-term incentive plan (the “2020 Omnibus Incentive Plan” or the “2020 Plan”) that allows for grants of incentive stock options to employees (including employees of any of our subsidiaries), nonstatutory stock options, restricted stock awards, restricted stock units (“RSUs”), performance stock units (“PSUs”) and other cash-based, equity-based or equity-related awards to employees, directors, and consultants, including employees or consultants of our subsidiaries.</w:t>
      </w:r>
    </w:p>
    <w:p>
      <w:pPr>
        <w:spacing w:after="0" w:line="207"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We recognized $8.0 million ($1.7 million for stock options, $5.4 million for RSUs and $0.9 million for PSUs) and $9.8 million ($4.6 million for stock options and $5.2 million for RSUs) of share-based compensation expense for these awards for the three months ended June 30, 2025 and 2024, respectively. We recognized $14.9 million ($3.9 million for stock options, $9.9 million for RSUs and $1.1 million for PSUs) and $18.1 million ($8.6 million for stock options and $9.5 million for RSUs) for the six months ended June 30, 2025 and 2024, respectively, in our Consolidated Statements of Operations and Comprehensive Income (Loss), in “Selling, general and administrative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Stock options generally vest ratably over a period of two to four years. They have an exercise price equal to the fair market value of a share of common stock on the date of grant, and a contractual term of 10 years. The following table summarizes our stock option activity for the six months ended June 30, 2025: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4"/>
                <w:szCs w:val="14"/>
                <w:color w:val="auto"/>
              </w:rPr>
            </w:pPr>
          </w:p>
        </w:tc>
        <w:tc>
          <w:tcPr>
            <w:tcW w:w="14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0"/>
        </w:trPr>
        <w:tc>
          <w:tcPr>
            <w:tcW w:w="786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14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50"/>
        </w:trPr>
        <w:tc>
          <w:tcPr>
            <w:tcW w:w="786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4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 at December 31, 2024</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8,328,051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43"/>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7"/>
        </w:trPr>
        <w:tc>
          <w:tcPr>
            <w:tcW w:w="78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stock options at June 30, 2025</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8,278,249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there were 6.9 million vested and exercisable stock options.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RSUs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Time-based RSUs generally vest ratably over a period of one to three years and are valued based on our market price on the date of grant. For RSUs with performance modifiers, management estimated the fair value using a Monte Carlo simulation valuation model. The following table summarizes our unvested RSU activity for the six months ended June 30,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4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5"/>
                <w:szCs w:val="15"/>
                <w:color w:val="auto"/>
              </w:rPr>
            </w:pPr>
          </w:p>
        </w:tc>
        <w:tc>
          <w:tcPr>
            <w:tcW w:w="20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90"/>
        </w:trPr>
        <w:tc>
          <w:tcPr>
            <w:tcW w:w="744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20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37"/>
        </w:trPr>
        <w:tc>
          <w:tcPr>
            <w:tcW w:w="744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44"/>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2,278,537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r>
      <w:tr>
        <w:trPr>
          <w:trHeight w:val="243"/>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1,560,201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r>
      <w:tr>
        <w:trPr>
          <w:trHeight w:val="27"/>
        </w:trPr>
        <w:tc>
          <w:tcPr>
            <w:tcW w:w="7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43"/>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(877,134)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27"/>
        </w:trPr>
        <w:tc>
          <w:tcPr>
            <w:tcW w:w="74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8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June 30, 2025</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2,933,436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PSUs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PSUs vest at the end of a three year service period and are valued based on our market price on the date of grant. PSUs awarded to our CEO with vesting conditions dependent upon the achievement of stock price increases were valued using a Monte Carlo simulation valuation model. The following table summarizes our unvested PSUs for the six months ended June 30, 2025:</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4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5"/>
                <w:szCs w:val="15"/>
                <w:color w:val="auto"/>
              </w:rPr>
            </w:pPr>
          </w:p>
        </w:tc>
        <w:tc>
          <w:tcPr>
            <w:tcW w:w="20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90"/>
        </w:trPr>
        <w:tc>
          <w:tcPr>
            <w:tcW w:w="744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204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37"/>
        </w:trPr>
        <w:tc>
          <w:tcPr>
            <w:tcW w:w="744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4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865,256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7"/>
        </w:trPr>
        <w:tc>
          <w:tcPr>
            <w:tcW w:w="74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8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June 30, 2025</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865,256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(Loss) Per Share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represents the amount of income attributable to each common share outstanding. Diluted earnings per share represents the amount of income attributable to each common share outstanding adjusted for the effects of potentially dilutive common shares. Potentially dilutive common shares include stock options and other stock-based awards. In the periods where the effect would be antidilutive, potentially dilutive common shares are excluded from the calculation of diluted earnings per share.</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periods in which the Company has net income, earnings per share is calculated using the two-class method. This method is required as unvested pre-IPO restricted stock awards have the right to receive non-forfeitable dividends or dividend equivalents if the Company were to declare dividends on its common stock. Pursuant to the two-class method, earnings for each period are allocated on a pro-rata basis to common stockholders and unvested pre-IPO restricted stock awards. Diluted earnings per share is computed using the more dilutive of the (a) two-class method and (b) treasury stock method, as applicable, to the potentially dilutive instruments.</w:t>
      </w:r>
    </w:p>
    <w:p>
      <w:pPr>
        <w:spacing w:after="0" w:line="21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periods in which the Company has a net loss, the two-class method is not applicable because the unvested pre-IPO restricted stock awards do not participate in losses.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basic and diluted earnings (loss) per common share are calculated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8"/>
                <w:szCs w:val="18"/>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8"/>
                <w:szCs w:val="18"/>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 and share amounts (except per share amounts)</w:t>
            </w:r>
          </w:p>
        </w:tc>
        <w:tc>
          <w:tcPr>
            <w:tcW w:w="200" w:type="dxa"/>
            <w:vAlign w:val="bottom"/>
          </w:tcPr>
          <w:p>
            <w:pPr>
              <w:spacing w:after="0"/>
              <w:rPr>
                <w:sz w:val="15"/>
                <w:szCs w:val="15"/>
                <w:color w:val="auto"/>
              </w:rPr>
            </w:pPr>
          </w:p>
        </w:tc>
        <w:tc>
          <w:tcPr>
            <w:tcW w:w="90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4340" w:type="dxa"/>
            <w:vAlign w:val="bottom"/>
            <w:tcBorders>
              <w:top w:val="single" w:sz="8" w:color="auto"/>
              <w:bottom w:val="single" w:sz="8" w:color="CCEEFF"/>
            </w:tcBorders>
          </w:tcPr>
          <w:p>
            <w:pPr>
              <w:spacing w:after="0"/>
              <w:rPr>
                <w:sz w:val="4"/>
                <w:szCs w:val="4"/>
                <w:color w:val="auto"/>
              </w:rPr>
            </w:pPr>
          </w:p>
        </w:tc>
        <w:tc>
          <w:tcPr>
            <w:tcW w:w="2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7,962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8,754</w:t>
            </w:r>
          </w:p>
        </w:tc>
        <w:tc>
          <w:tcPr>
            <w:tcW w:w="1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(5,298)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4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Allocation to participating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income (loss) attributable to Sotera Health Company common shareholders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7,961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8,747</w:t>
            </w:r>
          </w:p>
        </w:tc>
        <w:tc>
          <w:tcPr>
            <w:tcW w:w="18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(5,298)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283,933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282,894</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283,747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282,403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0"/>
        </w:trPr>
        <w:tc>
          <w:tcPr>
            <w:tcW w:w="20" w:type="dxa"/>
            <w:vAlign w:val="bottom"/>
            <w:shd w:val="clear" w:color="auto" w:fill="CCEEFF"/>
          </w:tcPr>
          <w:p>
            <w:pPr>
              <w:spacing w:after="0"/>
              <w:rPr>
                <w:sz w:val="24"/>
                <w:szCs w:val="24"/>
                <w:color w:val="auto"/>
              </w:rPr>
            </w:pPr>
          </w:p>
        </w:tc>
        <w:tc>
          <w:tcPr>
            <w:tcW w:w="6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Dilutive effect of potential common shares</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1,647</w:t>
            </w: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285,756</w:t>
            </w: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284,541</w:t>
            </w:r>
          </w:p>
        </w:tc>
        <w:tc>
          <w:tcPr>
            <w:tcW w:w="1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283,747</w:t>
            </w: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284,264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Common Share:</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income (loss) per common share attributable to Sotera Health Company common</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shareholders - basic</w:t>
            </w:r>
          </w:p>
        </w:tc>
        <w:tc>
          <w:tcPr>
            <w:tcW w:w="200" w:type="dxa"/>
            <w:vAlign w:val="bottom"/>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(loss) per common share attributable to Sotera Health Company common</w:t>
            </w:r>
          </w:p>
        </w:tc>
        <w:tc>
          <w:tcPr>
            <w:tcW w:w="20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4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shareholders - diluted</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40" w:right="40" w:hanging="332"/>
        <w:spacing w:after="0" w:line="298" w:lineRule="auto"/>
        <w:tabs>
          <w:tab w:leader="none" w:pos="334"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the Company reported a net loss for the six months ended June 30, 2025, the calculation of diluted weighted average common shares outstanding is not applicable because the effect of including the potential common shares would be anti-dilutive.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 earnings per share does not consider the following potential common shares as the effect would be anti-dilutive: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1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560" w:type="dxa"/>
            <w:vAlign w:val="bottom"/>
            <w:gridSpan w:val="5"/>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4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60"/>
        </w:trPr>
        <w:tc>
          <w:tcPr>
            <w:tcW w:w="20" w:type="dxa"/>
            <w:vAlign w:val="bottom"/>
          </w:tcPr>
          <w:p>
            <w:pPr>
              <w:spacing w:after="0"/>
              <w:rPr>
                <w:sz w:val="13"/>
                <w:szCs w:val="13"/>
                <w:color w:val="auto"/>
              </w:rPr>
            </w:pPr>
          </w:p>
        </w:tc>
        <w:tc>
          <w:tcPr>
            <w:tcW w:w="58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in thousands of share amounts</w:t>
            </w:r>
          </w:p>
        </w:tc>
        <w:tc>
          <w:tcPr>
            <w:tcW w:w="1300" w:type="dxa"/>
            <w:vAlign w:val="bottom"/>
            <w:gridSpan w:val="2"/>
          </w:tcPr>
          <w:p>
            <w:pPr>
              <w:jc w:val="right"/>
              <w:ind w:right="419"/>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1300" w:type="dxa"/>
            <w:vAlign w:val="bottom"/>
            <w:gridSpan w:val="2"/>
          </w:tcPr>
          <w:p>
            <w:pPr>
              <w:jc w:val="right"/>
              <w:ind w:right="430"/>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124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1220" w:type="dxa"/>
            <w:vAlign w:val="bottom"/>
            <w:gridSpan w:val="2"/>
          </w:tcPr>
          <w:p>
            <w:pPr>
              <w:jc w:val="right"/>
              <w:ind w:right="390"/>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48"/>
        </w:trPr>
        <w:tc>
          <w:tcPr>
            <w:tcW w:w="20" w:type="dxa"/>
            <w:vAlign w:val="bottom"/>
            <w:tcBorders>
              <w:bottom w:val="single" w:sz="8" w:color="CCEEFF"/>
            </w:tcBorders>
          </w:tcPr>
          <w:p>
            <w:pPr>
              <w:spacing w:after="0"/>
              <w:rPr>
                <w:sz w:val="4"/>
                <w:szCs w:val="4"/>
                <w:color w:val="auto"/>
              </w:rPr>
            </w:pPr>
          </w:p>
        </w:tc>
        <w:tc>
          <w:tcPr>
            <w:tcW w:w="1760" w:type="dxa"/>
            <w:vAlign w:val="bottom"/>
            <w:tcBorders>
              <w:top w:val="single" w:sz="8" w:color="auto"/>
              <w:bottom w:val="single" w:sz="8" w:color="CCEEFF"/>
            </w:tcBorders>
          </w:tcPr>
          <w:p>
            <w:pPr>
              <w:spacing w:after="0"/>
              <w:rPr>
                <w:sz w:val="4"/>
                <w:szCs w:val="4"/>
                <w:color w:val="auto"/>
              </w:rPr>
            </w:pPr>
          </w:p>
        </w:tc>
        <w:tc>
          <w:tcPr>
            <w:tcW w:w="4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8,299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w:t>
            </w:r>
          </w:p>
        </w:tc>
      </w:tr>
      <w:tr>
        <w:trPr>
          <w:trHeight w:val="243"/>
        </w:trPr>
        <w:tc>
          <w:tcPr>
            <w:tcW w:w="20" w:type="dxa"/>
            <w:vAlign w:val="bottom"/>
          </w:tcPr>
          <w:p>
            <w:pPr>
              <w:spacing w:after="0"/>
              <w:rPr>
                <w:sz w:val="21"/>
                <w:szCs w:val="21"/>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1,583</w:t>
            </w: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PSUs</w:t>
            </w:r>
          </w:p>
        </w:tc>
        <w:tc>
          <w:tcPr>
            <w:tcW w:w="7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anti-dilutive securities</w:t>
            </w: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11,443</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6,831</w:t>
            </w: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time to time, we may be or are subject to various lawsuits and other claims, as well as gain contingencies, in the ordinary course of our business. In addition, from time to time, we receive communications from government or regulatory agencies concerning investigations or allegations of noncompliance with laws or regulations in jurisdictions in which we operate. We assess these regulatory and legal actions to determine if a contingent liability should be recorded. In making these determinations, we may, depending on the nature of the matter, consult with internal and external legal counsel and technical experts.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establish reserves for specific liabilities in connection with regulatory and legal actions that we determine to be both probable and reasonably estimable. The outcomes of regulatory and legal actions can be difficult to predict and are often resolved over long periods of time, making our probability and estimability determinations highly judgmental. Probability determinations require the analysis of various possible outcomes, assessments of potential damages and the impact of multiple factors beyond our control, including potential actions by others, interpretations of the law, and changes and developments in relevant facts, circumstances, regulations and other laws. If a potentially material loss contingency is not probable, but is reasonably possible, or is probable but cannot be estimated, then the nature of the contingent liability is disclosed, together with an estimate of the range of possible loss if the range is determinable and material. In certain of the matters described below, we are not able to estimate potential liability because of the uncertainties related to the outcome(s) and/or the amount(s) or range(s) of loss. The ultimate resolution of pending regulatory and legal matters in future periods, including the matters described below, may have a material adverse effect on our financial condition, results of operations and/or liquidity. The Company may also incur material defense and settlement costs, diversion of management resources and other adverse effects on our business, financial condition, and/or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regarding those lawsuits set forth below, including the number of claims, is as of June 30, 2025, except as otherwise indicated.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Ethylene Oxide Tort Litigation</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Sterigenics U.S., LLC (“Sterigenics”) and other medical supply sterilization companies have been subjected to tort lawsuits alleging various injuries caused by low-level environmental exposure to EO used at or emitted from sterilization facilities. Those lawsuits, as detailed further below, are individual claims, as opposed to class actions.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w:t>
      </w:r>
    </w:p>
    <w:p>
      <w:pPr>
        <w:spacing w:after="0" w:line="22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As of July 7, 2025, subsidiaries of the Company and other parties are defendants in seven lawsuits in Los Angeles County Superior Court in which the plaintiffs are asserting approximately 80 claims for personal injury or wrongful death allegedly resulting from emissions and releases of EO from Sterigenics’ Vernon facilities (the “Vernon Cases”). The Vernon Cases have been assigned to one judge and discovery is underway.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Georgia</w:t>
      </w:r>
    </w:p>
    <w:p>
      <w:pPr>
        <w:spacing w:after="0" w:line="22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Subsidiaries of the Company and other parties are defendants in lawsuits in Georgia in which plaintiffs allege personal injuries, wrongful death and property devaluation resulting from use, emissions and releases of EO from or at Sterigenics’ Atlanta facility (the “Atlanta Cases”).</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July 10, 2025, approximately 380 personal injury and wrongful death claims in the State Court of Cobb County (the “Georgia Trial Court”) have been consolidated for pretrial purposes (the “Consolidated Personal Injury Cases”). The Consolidated Personal Injury Cases are governed by a case management order pursuant to which general causation issues in a pool of eight cases are to be adjudicated in Phase 1 and specific causation issues in the pool cases are to be adjudicated in Phase 2; the remaining Consolidated Personal Injury Cases (including 15 cases that include both personal injury and property claims) are stayed. On November 22, 2024, the Georgia Trial Court issued a Phase 1 ruling on general causation issues granting in part and denying in part defendants’ motions to exclude certain Phase 1 expert testimony and defendants’ motions for summary judgment on Phase 1 issues (the “Phase 1 Ruling”). Plaintiffs and defendants appealed the Phase 1 Ruling and these appeals are pending before the Georgia Court of Appeals. Phase 2 discovery in the pool cases closed in June 2025. Also in June 2025, plaintiffs and defendants each filed motions to exclude certain expert witnesses disclosed during Phase 2, and Sterigenics filed motions for summary judgment. Those motions remain pending. Trial of the first pool case currently is scheduled to begin on March 16, 2026. In addition, one personal injury lawsuit is pending before a different judge but is stayed, along with the stayed cases in the Consolidated Personal Injury Cases.</w:t>
      </w:r>
    </w:p>
    <w:p>
      <w:pPr>
        <w:spacing w:after="0" w:line="192"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One lawsuit is pending in the Georgia Trial Court in which employees of a sterilization customer of Sterigenics allege they were injured while working at the customer’s distribution facility by exposure to residual EO allegedly emanating from products of the customer that had been sterilized by Sterigenics. Sterigenics’ motion to dismiss in part plaintiffs’ Fourth Amended Complaint was heard by the Georgia Trial Court in June 2025 and remains pending and discovery is ongoing. Pursuant to the customer’s contract with Sterigenics, the customer is indemnifying Sterigenics against this lawsuit.</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Approximately 340 property devaluation lawsuits pending in the Georgia Trial Court have been consolidated for pretrial purposes (the “Consolidated Property Cases”). A pool of nine of the Consolidated Property Cases are proceeding under case management orders and are currently in discovery. The remaining cases are stayed.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Illinois</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Subsidiaries of the Company and other parties are defendants in lawsuits in the Circuit Court of Cook County, Illinois, in which plaintiffs allege personal injury or wrongful death resulting from purported emissions and releases of EO from Sterigenics’ former Willowbrook facility (the “Willowbrook Cases”). The Willowbrook Cases have been assigned to a single judge for coordinated discovery and pretrial proceedings.</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April 3, 2025, Sterigenics entered into a binding term sheet (the “April Term Sheet”) to resolve the seven cases previously set for trials in April and June 2025 and all of the other claims being pursued by the same plaintiffs’ counsel, including those of the individual plaintiffs in 61 Willowbrook Cases and 29 claimants who asserted claims but had yet to file lawsuits (collectively, the “Eligible April Claimants”). The settlement is subject to the satisfaction of several conditions, including participation by 100 percent of the Eligible April Claimants, stays of the trials that were scheduled to begin in April and June and a determination by the Circuit Court of Cook County that the settlement was entered in good faith under the Illinois Contribution Among Joint Tortfeasors Act. Pursuant to the April Term Sheet, Sterigenics will pay a total of $30.9 million, each Eligible April Claimant participating in the settlement will execute a Confidential General Release, Settlement Agreement and Covenant Not To Sue and the cases will be dismissed with prejudice. The opt-out deadline was June 28, 2025; 100 percent of the Eligible April Claimants elected to participate in the settlement.</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July 23, 2025, Sterigenics entered into a binding term sheet (the “July Term Sheet”) to resolve ten cases set for trials in October 2025 and March 2026, and 119 other claims being pursued by the same plaintiffs’ counsel, including those of the individual plaintiffs in 56 Willowbrook Cases and 63 claimants who asserted claims but had yet to file lawsuits (collectively, the “Eligible July Claimants”). The settlement is subject to the satisfaction of several conditions, including participation by 100 percent of the Eligible July Claimants, stays of the trials scheduled to begin in October 2025 and March 2026 and a determination by the Circuit Court of Cook County that the settlement was entered in good faith under the Illinois Contribution</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Among Joint Tortfeasors Act. Pursuant to the July Term Sheet, Sterigenics will pay a total of $34.0 million, each Eligible July Claimant participating in the settlement will execute a Confidential General Release, Settlement Agreement and Covenant Not to Sue and the cases will be dismissed with prejudice. If the settlement is finalized with 100 percent participation of the 129 Eligible July Claimants, one Willowbrook Case will remain pending in the Circuit Court of Cook County.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Mexico</w:t>
      </w:r>
    </w:p>
    <w:p>
      <w:pPr>
        <w:spacing w:after="0" w:line="22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Company and certain subsidiaries are defendants in a lawsuit in the Third Judicial District Court, Doña Ana County, New Mexico (the “Trial Court”) in which the New Mexico Attorney General (“NMAG”) alleges that emissions and releases of EO from Sterigenics’ facility in Santa Teresa have deteriorated the air quality in surrounding communities and materially contributed to increased health risks for residents of those communities. In April 2024, the Court of Appeals of the State of New Mexico denied the NMAG’s petition for leave to file an interlocutory appeal of the Trial Court’s August 2023 order granting Sterigenics’ motion for summary judgment on strict liability, the Unfair Practices Act claim, and the claims for decreased property values, increased healthcare costs and medical monitoring costs, and remanded the case to the District Court of Doña Ana County for further proceedings on the remaining claims. Subsequently, in April 2025, the NMAG filed a motion pursuant to Rule 1-054(B) seeking to modify the Trial Court’s August 2023 summary judgment order to reinstate the NMAG’s claim for recovery of healthcare cost damages. That motion remains pending. The case is set for trial in July 2026.</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Additional EO lawsuits have been threatened relating to Sterigenics’ former facility in Willowbrook and existing facilities in Atlanta, Georgia; Charlotte, North Carolina; Grand Prairie, Texas; and Vernon, California and may be filed in the future relating to these or Sterigenics’ other EO facilities; these threats of additional EO lawsuits are comparable to threats that have similarly been made against other companies within our industry. Based on our view of the strength of the science and related evidence that emissions of EO from Sterigenics’ operations have not caused and could not have caused the harms alleged in such lawsuits, we believe that losses in the remaining or future EO cases through trials and any appeals that may prove necessary are not probable. Although the Company is vigorously defending against the EO tort claims, future settlements of EO tort claims are reasonably possible. The previously disclosed settlements of certain cases related to our facilities in Willowbrook and Atlanta and the resolution of the tort lawsuit pending in the United States District Court for the District of New Mexico (as previously disclosed in Note 14, Commitments and Contingencies of our Quarterly Report on Form 10-Q for the quarterly period ended September 30, 2024) were driven by dynamics unique to the claims that were settled and thus should not give rise to presumptions that the Company will settle additional EO tort claims and/or that any such settlements will be for comparable amounts.</w:t>
      </w:r>
    </w:p>
    <w:p>
      <w:pPr>
        <w:spacing w:after="0" w:line="1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Potential trial and settlement outcomes can vary widely based on a host of factors. EO tort lawsuits will be presided over by different judges, tried by different counsel presenting different evidence and decided by different juries. The substantive and procedural laws of jurisdictions vary and can meaningfully impact the litigation process and outcome of a case. Each plaintiff’s claim involves unique facts and evidence including the circumstances of the plaintiff’s alleged exposure, the type and severity of the plaintiff’s disease, the plaintiff’s medical history and course of treatment, the location of and other factors related to the plaintiff’s real property, and other circumstances. The outcomes of trials before juries are rarely certain and a judgment rendered or settlement reached in one case is not necessarily representative of potential outcomes of other seemingly comparable cases. As a result, it is not possible to estimate a reasonably possible loss or range of loss with respect to any future EO tort lawsuit, trial or settlement. We are vigorously defending the EO tort lawsuits.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Insurance Coverage for Environmental Liabilities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 environmental liability insurance policy under which we have received coverage for the EO tort lawsuits in Georgia, Illinois and New Mexico described above had limits of $10.0 million per occurrence and $20.0 million in the aggregate. Those per occurrence and aggregate limits were fully utilized in the defense of the Georgia, Illinois and New Mexico litigation. Our insurance for future alleged environmental liabilities excludes coverage for EO claims.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pursuing additional insurance coverage for our legal expenses related to EO tort lawsuits. In 2021, Sterigenics filed an insurance coverage lawsuit in the U.S. District Court for the Northern District of Illinois (the “Illinois District Court”) relating to two commercial general liability policies issued in the 1980s (the “Northern District of Illinois Coverage Lawsuit”). The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Illinois District Court issued an order declaring that the defendant insurer owes a duty to Sterigenics and another insured party to defend the Willowbrook Cases (the “Duty to Defend Order”) and entered judgment for Sterigenics in January 2024 in the amount of $110.2 million for certain defense costs incurred in the Willowbrook Cases as of August 2022 (the “Defense Costs Judgment”). The defendant insurer appealed the Duty to Defend Order and Defense Costs Judgment to the United States Court of Appeals for the Seventh Circuit. On April 11, 2025, the Seventh Circuit Court of Appeals issued a decision certifying a question of Illinois law to the Illinois Supreme Court.</w:t>
      </w:r>
    </w:p>
    <w:p>
      <w:pPr>
        <w:spacing w:after="0" w:line="18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Sterigenics is also a party in insurance coverage lawsuits pending in the Circuit Court of Cook County, the Delaware Superior Court and the Los Angeles County Superior Court relating to insurance coverage from various historical commercial general liability policies for certain EO litigation settlement amounts and defense costs that the insurer against which a judgment has been secured in the Northern District of Illinois Coverage Lawsuit may fail to fund. The Delaware Superior Court case has been stayed pending resolution of the coverage lawsuit in the Circuit Court of Cook County. The Cook County Circuit Court lawsuit and the Los Angeles County Superior Court lawsuit have now been stayed pending resolution of the certified question currently pending before the Illinois Supreme Court. It is not possible to predict how much, if any, of the insurance proceeds sought will ultimately be recovered.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Sotera Health Company Securities Litigation and Related Matters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January 2023, a stockholder class action was filed in the U.S. District Court for the Northern District of Ohio (the “Ohio District Court”) against the Company, certain past and present directors and senior executives, the Company’s private equity stockholders and the underwriters of the Company’s initial public offering (“IPO”) in November 2020 and the Company’s secondary public offering (“SPO”) in March 2021 (the “Michigan Funds Litigation”). In April 2023, the Ohio District Court appointed the Oakland County Employees’ Retirement System, Oakland County Voluntary Employees’ Beneficiary Association, and Wayne County Employees’ Retirement System (the “Michigan Funds”) to serve as lead plaintiff to prosecute claims on behalf of a proposed class of stockholders who acquired shares of the Company in connection with our IPO or SPO between November 20, 2020 and September 19, 2022 (the “Proposed Class”). The Michigan Funds allege that certain statements made regarding the safety of the Company’s use of EO and/or the EO tort lawsuits and other risks of its EO operations violated Sections 11, 12(a)(2) and 15 of the Securities Act of 1933 (when made in the registration statements for the IPO and SPO) and Sections 10(b), Section 20(a) and Rule 10b-5 of the Securities Exchange Act of 1934 (when made in subsequent securities filings and other contexts). On March 19, 2025, the Ohio District Court issued a Memorandum Opinion and Order granting the Company’s motion to dismiss the Amended Complaint and entered judgment dismissing the Michigan Funds Litigation with prejudice (the “Dismissal Order and Judgment”). The Michigan Funds have appealed the Dismissal Order and Judgment to the United States Court of Appeals for the Sixth Circuit.</w:t>
      </w:r>
    </w:p>
    <w:p>
      <w:pPr>
        <w:spacing w:after="0" w:line="1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May 2024, a stockholder derivative lawsuit was filed in the Court of Chancery of the State of Delaware (the “Delaware Chancery Court”) for the benefit of the Company as the nominal defendant (the “May 2024 Derivative Litigation”). The plaintiffs allege breaches of fiduciary duties, insider trading, unjust enrichment and other violations by certain past and present directors and senior executives of the Company and the Company’s private equity stockholders. On June 25, 2024, the Delaware Chancery Court stayed the May 2024 Derivative Litigation pending a ruling on the merits on the motion to dismiss the Amended Complaint in the Michigan Funds Litigation.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vigorously defending the Michigan Funds Litigation and, if necessary, plans to vigorously defend the May 2024 Derivative Litigation.</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also received demands pursuant to 8 Del. C. §220 for inspections of its books and records (“220 Demands”) from shareholders purporting to investigate potential wrongdoing by Company fiduciaries and other issues relating to the Company’s statements regarding the safety of its use of EO and/or the EO tort lawsuits and other risks of its EO operations. The Company has produced documents in response to the 220 Demands and may produce additional documents.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Financial Instruments and Financial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use derivatives for trading or speculative purposes and are not a party to leveraged derivatives.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Designated in Hedge Relationships</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From time to time, the Company utilizes interest rate derivatives designated in hedge relationships to manage interest rate risk associated with our variable rate borrowings. These instruments are measured at fair value with changes in fair value recorded as a component of “Accumulated other comprehensive income (loss)” on our Consolidated Balance Sheets.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March 2025, we entered into an interest rate swap agreement with a notional amount of $400.0 million. The interest rate swap is effective on August 31, 2025 and expires on August 31, 2027. We have designated the interest swap as a cash flow hedge designed to hedge the variability of cash flows attributable to changes in the SOFR benchmark interest rate of our Term Loan (or any successor thereto). We receive interest at the one-month Term SOFR rate and pay a fixed interest rate under the terms of the swap agreement.</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March 2023, we entered into an interest rate swap agreement with a notional amount of $400.0 million. The interest rate swap was effective on August 23, 2023 and expires on August 23, 2025. We have designated the interest swap as a cash flow hedge designed to hedge the variability of cash flows attributable to changes in the SOFR benchmark interest rate of our Term Loan (or any successor thereto). We receive interest at the one-month Term SOFR rate and pay a fixed interest rate under the terms of the swap agreement.</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May 2022, we entered into two interest rate cap agreements with a combined notional amount of $1,000.0 million for a total option premium of $4.1 million. The interest rate caps were effective on July 31, 2023 and expired on July 31, 2024. We designated these interest rate caps as cash flow hedges designed to hedge the variability of cash flows attributable to changes in the benchmark interest rate of our Term Loan (or any successor thereto). Under the current terms of the Credit Agreement, the benchmark interest rate index transitioned from LIBOR to Term SOFR on June 30, 2023. Accordingly, the interest rate cap agreements hedged the variability of cash flows attributable to changes in SOFR by limiting our cash flow exposure related to Term SOFR under a portion of our variable rate borrowings to 3.5%.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Not Designated in Hedge Relationships</w:t>
      </w:r>
    </w:p>
    <w:p>
      <w:pPr>
        <w:spacing w:after="0" w:line="25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also routinely enters into foreign currency forward contracts to manage foreign currency exchange rate risk of our intercompany loans in certain of our international subsidiaries and non-functional currency assets and liabilities. The foreign currency forward contracts expire on a monthly basis. These foreign currency derivatives are not designated in hedge relationships.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Embedded Derivatives</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notional and fair values of our derivative instruments: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8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U.S. Dollars; notional in millions, fair value in thousands)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4"/>
          </w:tcPr>
          <w:p>
            <w:pPr>
              <w:ind w:left="660"/>
              <w:spacing w:after="0" w:line="155"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3"/>
          </w:tcPr>
          <w:p>
            <w:pPr>
              <w:jc w:val="right"/>
              <w:ind w:right="713"/>
              <w:spacing w:after="0" w:line="155" w:lineRule="exact"/>
              <w:rPr>
                <w:sz w:val="20"/>
                <w:szCs w:val="20"/>
                <w:color w:val="auto"/>
              </w:rPr>
            </w:pPr>
            <w:r>
              <w:rPr>
                <w:rFonts w:ascii="Times New Roman" w:cs="Times New Roman" w:eastAsia="Times New Roman" w:hAnsi="Times New Roman"/>
                <w:sz w:val="16"/>
                <w:szCs w:val="16"/>
                <w:b w:val="1"/>
                <w:bCs w:val="1"/>
                <w:color w:val="auto"/>
              </w:rPr>
              <w:t>Fair Value</w:t>
            </w:r>
          </w:p>
        </w:tc>
      </w:tr>
      <w:tr>
        <w:trPr>
          <w:trHeight w:val="48"/>
        </w:trPr>
        <w:tc>
          <w:tcPr>
            <w:tcW w:w="20" w:type="dxa"/>
            <w:vAlign w:val="bottom"/>
          </w:tcPr>
          <w:p>
            <w:pPr>
              <w:spacing w:after="0"/>
              <w:rPr>
                <w:sz w:val="4"/>
                <w:szCs w:val="4"/>
                <w:color w:val="auto"/>
              </w:rPr>
            </w:pPr>
          </w:p>
        </w:tc>
        <w:tc>
          <w:tcPr>
            <w:tcW w:w="35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194"/>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26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80" w:type="dxa"/>
            <w:vAlign w:val="bottom"/>
          </w:tcPr>
          <w:p>
            <w:pPr>
              <w:spacing w:after="0"/>
              <w:rPr>
                <w:sz w:val="16"/>
                <w:szCs w:val="16"/>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6"/>
                <w:szCs w:val="16"/>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Derivative</w:t>
            </w:r>
          </w:p>
        </w:tc>
      </w:tr>
      <w:tr>
        <w:trPr>
          <w:trHeight w:val="212"/>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tcPr>
          <w:p>
            <w:pPr>
              <w:spacing w:after="0"/>
              <w:rPr>
                <w:sz w:val="18"/>
                <w:szCs w:val="18"/>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18"/>
                <w:szCs w:val="18"/>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Liabilities</w:t>
            </w:r>
          </w:p>
        </w:tc>
      </w:tr>
      <w:tr>
        <w:trPr>
          <w:trHeight w:val="33"/>
        </w:trPr>
        <w:tc>
          <w:tcPr>
            <w:tcW w:w="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800.0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200</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42.5</w:t>
            </w:r>
          </w:p>
        </w:tc>
        <w:tc>
          <w:tcPr>
            <w:tcW w:w="22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595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8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Embedded derivatives</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211.7</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1,339</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2,689</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r>
      <w:tr>
        <w:trPr>
          <w:trHeight w:val="264"/>
        </w:trPr>
        <w:tc>
          <w:tcPr>
            <w:tcW w:w="20" w:type="dxa"/>
            <w:vAlign w:val="bottom"/>
          </w:tcPr>
          <w:p>
            <w:pPr>
              <w:spacing w:after="0"/>
              <w:rPr>
                <w:sz w:val="22"/>
                <w:szCs w:val="22"/>
                <w:color w:val="auto"/>
              </w:rPr>
            </w:pPr>
          </w:p>
        </w:tc>
        <w:tc>
          <w:tcPr>
            <w:tcW w:w="3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1,054.2</w:t>
            </w: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2,134</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2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3,236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Represents the total notional amounts for certain of the Company’s supply and sales contracts accounted for as embedded derivatives.</w:t>
      </w:r>
    </w:p>
    <w:p>
      <w:pPr>
        <w:spacing w:after="0" w:line="22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Embedded derivative assets/liabilities and foreign currency forward contracts are included in “Prepaid expenses and other current assets” and “Accrued liabilities” on our Consolidated Balance Sheets depending upon their position at period end. Interest rate swaps are included in “Other assets” and “Noncurrent liabilities” on the Consolidated Balance Sheets depending upon their position at period end.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activities of our derivative instruments for the periods presented, and the line item they are recorded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 (Loss):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00" w:type="dxa"/>
            <w:vAlign w:val="bottom"/>
          </w:tcPr>
          <w:p>
            <w:pPr>
              <w:spacing w:after="0"/>
              <w:rPr>
                <w:sz w:val="13"/>
                <w:szCs w:val="13"/>
                <w:color w:val="auto"/>
              </w:rPr>
            </w:pPr>
          </w:p>
        </w:tc>
        <w:tc>
          <w:tcPr>
            <w:tcW w:w="242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3"/>
                <w:szCs w:val="13"/>
                <w:color w:val="auto"/>
              </w:rPr>
            </w:pPr>
          </w:p>
        </w:tc>
        <w:tc>
          <w:tcPr>
            <w:tcW w:w="20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4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45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 on interest rate derivatives recorded in interest expense, net</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(4,906)</w:t>
            </w: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 loss on embedded derivatives recorded in other income, net</w:t>
            </w:r>
          </w:p>
        </w:tc>
        <w:tc>
          <w:tcPr>
            <w:tcW w:w="2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 loss on foreign currency forward contracts recorded in foreign</w:t>
            </w:r>
          </w:p>
        </w:tc>
        <w:tc>
          <w:tcPr>
            <w:tcW w:w="20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1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exchange loss (gain)</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1,499</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5,507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 loss on foreign currency forward contracts recorded in foreign</w:t>
            </w:r>
          </w:p>
        </w:tc>
        <w:tc>
          <w:tcPr>
            <w:tcW w:w="200" w:type="dxa"/>
            <w:vAlign w:val="bottom"/>
          </w:tcPr>
          <w:p>
            <w:pPr>
              <w:spacing w:after="0"/>
              <w:rPr>
                <w:sz w:val="19"/>
                <w:szCs w:val="19"/>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exchange loss (gain)</w:t>
            </w:r>
          </w:p>
        </w:tc>
        <w:tc>
          <w:tcPr>
            <w:tcW w:w="20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653</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20" w:hanging="212"/>
        <w:spacing w:after="0"/>
        <w:tabs>
          <w:tab w:leader="none" w:pos="2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For the three and six months ended June 30, 2025 and 2024, amounts represent quarterly settlement of interest rate derivatives.</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expect to reclassify approximately $0.4 million of pre-tax net gains on derivative instruments from accumulated other comprehensive income (loss) to income during the next 12 months associated with our cash flow hedges. Refer to Note 11, “Other Comprehensive Income (Loss)” for unrealized gains on interest rate derivatives, net of applicable tax, recorded in other comprehensive income (loss) and amounts reclassified from accumulated other comprehensive income (loss) to interest expense, net of applicable tax, during the three and six months ended June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financial assets, including cash and cash equivalents, are exposed to credit risk.</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are also exposed, in our normal course of business, to credit risk from our customers. As of June 30, 2025 and December 31, 2024, accounts receivable was net of an allowance for uncollectible accounts of $2.3 million and $2.5 million, respectively.</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credit team evaluates and regularly monitors changes in the credit risk of our customers. We routinely assess the collectability of accounts receivable and maintain an adequate allowance for uncollectible accounts to address potential credit losses. The process includes a review of customer financial information and credit ratings, current market conditions as well as the expected future economic conditions that may impact the collection of trade receivables. We regularly review our customers’ past due amounts through an analysis of aged accounts receivables, specific customer past due aging amounts, and the history of trade receivables written off. Upon concluding that a receivable balance is not collectible, the balance is written off against the allowance for uncollectible accounts.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the fair value of our financial assets and liabilities: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3"/>
                <w:szCs w:val="13"/>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3"/>
                <w:szCs w:val="13"/>
                <w:color w:val="auto"/>
              </w:rPr>
            </w:pPr>
          </w:p>
        </w:tc>
        <w:tc>
          <w:tcPr>
            <w:tcW w:w="11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2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60" w:type="dxa"/>
            <w:vAlign w:val="bottom"/>
          </w:tcPr>
          <w:p>
            <w:pPr>
              <w:spacing w:after="0"/>
              <w:rPr>
                <w:sz w:val="13"/>
                <w:szCs w:val="13"/>
                <w:color w:val="auto"/>
              </w:rPr>
            </w:pPr>
          </w:p>
        </w:tc>
        <w:tc>
          <w:tcPr>
            <w:tcW w:w="126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200" w:type="dxa"/>
            <w:vAlign w:val="bottom"/>
            <w:tcBorders>
              <w:top w:val="single" w:sz="8" w:color="auto"/>
              <w:bottom w:val="single" w:sz="8" w:color="CCEEFF"/>
            </w:tcBorders>
          </w:tcPr>
          <w:p>
            <w:pPr>
              <w:spacing w:after="0"/>
              <w:rPr>
                <w:sz w:val="4"/>
                <w:szCs w:val="4"/>
                <w:color w:val="auto"/>
              </w:rPr>
            </w:pPr>
          </w:p>
        </w:tc>
        <w:tc>
          <w:tcPr>
            <w:tcW w:w="32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36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shd w:val="clear" w:color="auto" w:fill="CCEEFF"/>
          </w:tcPr>
          <w:p>
            <w:pPr>
              <w:spacing w:after="0"/>
              <w:rPr>
                <w:sz w:val="24"/>
                <w:szCs w:val="24"/>
                <w:color w:val="auto"/>
              </w:rPr>
            </w:pPr>
          </w:p>
        </w:tc>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Interest rate swap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r>
              <w:rPr>
                <w:rFonts w:ascii="Times New Roman" w:cs="Times New Roman" w:eastAsia="Times New Roman" w:hAnsi="Times New Roman"/>
                <w:sz w:val="23"/>
                <w:szCs w:val="23"/>
                <w:color w:val="auto"/>
                <w:vertAlign w:val="superscript"/>
              </w:rPr>
              <w:t>(b)</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 assets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Embedded derivative assets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Embedded derivative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portion of long-term debt</w:t>
            </w:r>
            <w:r>
              <w:rPr>
                <w:rFonts w:ascii="Times New Roman" w:cs="Times New Roman" w:eastAsia="Times New Roman" w:hAnsi="Times New Roman"/>
                <w:sz w:val="23"/>
                <w:szCs w:val="23"/>
                <w:color w:val="auto"/>
                <w:vertAlign w:val="superscript"/>
              </w:rPr>
              <w:t>(c)</w:t>
            </w: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due 2031</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15,151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3"/>
                <w:szCs w:val="23"/>
                <w:color w:val="auto"/>
                <w:vertAlign w:val="superscript"/>
              </w:rPr>
              <w:t>(c)</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secured notes, due 2031</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746,582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775,350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Term loan, due 2031</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1,456,069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1,488,571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shd w:val="clear" w:color="auto" w:fill="CCEEFF"/>
          </w:tcPr>
          <w:p>
            <w:pPr>
              <w:spacing w:after="0"/>
              <w:rPr>
                <w:sz w:val="24"/>
                <w:szCs w:val="24"/>
                <w:color w:val="auto"/>
              </w:rPr>
            </w:pPr>
          </w:p>
        </w:tc>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 (with current portion)</w:t>
            </w:r>
            <w:r>
              <w:rPr>
                <w:rFonts w:ascii="Times New Roman" w:cs="Times New Roman" w:eastAsia="Times New Roman" w:hAnsi="Times New Roman"/>
                <w:sz w:val="23"/>
                <w:szCs w:val="23"/>
                <w:color w:val="auto"/>
                <w:vertAlign w:val="superscript"/>
              </w:rPr>
              <w:t>(d)</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98,657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98,657</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2"/>
                <w:szCs w:val="12"/>
                <w:color w:val="auto"/>
              </w:rPr>
            </w:pPr>
          </w:p>
        </w:tc>
        <w:tc>
          <w:tcPr>
            <w:tcW w:w="11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2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6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200" w:type="dxa"/>
            <w:vAlign w:val="bottom"/>
            <w:tcBorders>
              <w:top w:val="single" w:sz="8" w:color="auto"/>
              <w:bottom w:val="single" w:sz="8" w:color="CCEEFF"/>
            </w:tcBorders>
          </w:tcPr>
          <w:p>
            <w:pPr>
              <w:spacing w:after="0"/>
              <w:rPr>
                <w:sz w:val="4"/>
                <w:szCs w:val="4"/>
                <w:color w:val="auto"/>
              </w:rPr>
            </w:pPr>
          </w:p>
        </w:tc>
        <w:tc>
          <w:tcPr>
            <w:tcW w:w="32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36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shd w:val="clear" w:color="auto" w:fill="CCEEFF"/>
          </w:tcPr>
          <w:p>
            <w:pPr>
              <w:spacing w:after="0"/>
              <w:rPr>
                <w:sz w:val="24"/>
                <w:szCs w:val="24"/>
                <w:color w:val="auto"/>
              </w:rPr>
            </w:pPr>
          </w:p>
        </w:tc>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Interest rate swap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shd w:val="clear" w:color="auto" w:fill="CCEEFF"/>
          </w:tcPr>
          <w:p>
            <w:pPr>
              <w:spacing w:after="0"/>
              <w:rPr>
                <w:sz w:val="24"/>
                <w:szCs w:val="24"/>
                <w:color w:val="auto"/>
              </w:rPr>
            </w:pPr>
          </w:p>
        </w:tc>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 assets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Embedded derivative assets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Embedded derivative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portion of long-term debt</w:t>
            </w:r>
            <w:r>
              <w:rPr>
                <w:rFonts w:ascii="Times New Roman" w:cs="Times New Roman" w:eastAsia="Times New Roman" w:hAnsi="Times New Roman"/>
                <w:sz w:val="23"/>
                <w:szCs w:val="23"/>
                <w:color w:val="auto"/>
                <w:vertAlign w:val="superscript"/>
              </w:rPr>
              <w:t>(c)</w:t>
            </w: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B, due 2031</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3"/>
                <w:szCs w:val="23"/>
                <w:color w:val="auto"/>
                <w:vertAlign w:val="superscript"/>
              </w:rPr>
              <w:t>(c)</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due 2031</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759,375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Term loan B, due 2031</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1,461,807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1,493,314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shd w:val="clear" w:color="auto" w:fill="CCEEFF"/>
          </w:tcPr>
          <w:p>
            <w:pPr>
              <w:spacing w:after="0"/>
              <w:rPr>
                <w:sz w:val="24"/>
                <w:szCs w:val="24"/>
                <w:color w:val="auto"/>
              </w:rPr>
            </w:pPr>
          </w:p>
        </w:tc>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 (with current portion)</w:t>
            </w:r>
            <w:r>
              <w:rPr>
                <w:rFonts w:ascii="Times New Roman" w:cs="Times New Roman" w:eastAsia="Times New Roman" w:hAnsi="Times New Roman"/>
                <w:sz w:val="23"/>
                <w:szCs w:val="23"/>
                <w:color w:val="auto"/>
                <w:vertAlign w:val="superscript"/>
              </w:rPr>
              <w:t>(d)</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98,209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98,209</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500" w:right="200" w:hanging="492"/>
        <w:spacing w:after="0" w:line="257" w:lineRule="auto"/>
        <w:tabs>
          <w:tab w:leader="none" w:pos="49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designated as hedging instruments are measured at fair value with changes in fair value recorded as a component of accumulated other comprehensive income (loss). Interest rate swaps are valued using pricing models that incorporate observable market inputs including interest rate and yield curves.</w:t>
      </w:r>
    </w:p>
    <w:p>
      <w:pPr>
        <w:spacing w:after="0" w:line="1" w:lineRule="exact"/>
        <w:rPr>
          <w:rFonts w:ascii="Times New Roman" w:cs="Times New Roman" w:eastAsia="Times New Roman" w:hAnsi="Times New Roman"/>
          <w:sz w:val="18"/>
          <w:szCs w:val="18"/>
          <w:color w:val="auto"/>
        </w:rPr>
      </w:pPr>
    </w:p>
    <w:p>
      <w:pPr>
        <w:ind w:left="500" w:right="960" w:hanging="492"/>
        <w:spacing w:after="0" w:line="260" w:lineRule="auto"/>
        <w:tabs>
          <w:tab w:leader="none" w:pos="49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that are not designated as hedging instruments are measured at fair value with gains or losses recognized immediately in the Consolidated Statements of Operations and Comprehensive Income (Loss). Embedded derivatives are</w:t>
      </w:r>
    </w:p>
    <w:p>
      <w:pPr>
        <w:sectPr>
          <w:pgSz w:w="11900" w:h="16838" w:orient="portrait"/>
          <w:cols w:equalWidth="0" w:num="1">
            <w:col w:w="11240"/>
          </w:cols>
          <w:pgMar w:left="320" w:top="130" w:right="339" w:bottom="812"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812"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right="540"/>
        <w:spacing w:after="0" w:line="261" w:lineRule="auto"/>
        <w:rPr>
          <w:sz w:val="20"/>
          <w:szCs w:val="20"/>
          <w:color w:val="auto"/>
        </w:rPr>
      </w:pPr>
      <w:r>
        <w:rPr>
          <w:rFonts w:ascii="Times New Roman" w:cs="Times New Roman" w:eastAsia="Times New Roman" w:hAnsi="Times New Roman"/>
          <w:sz w:val="18"/>
          <w:szCs w:val="18"/>
          <w:color w:val="auto"/>
        </w:rPr>
        <w:t>valued using internally developed models that rely on observable market inputs, including foreign currency forward curves. Foreign currency forward contracts are valued by reference to changes in the foreign currency exchange rate over the life of the contract.</w:t>
      </w:r>
    </w:p>
    <w:p>
      <w:pPr>
        <w:ind w:left="500" w:right="80" w:hanging="492"/>
        <w:spacing w:after="0" w:line="250" w:lineRule="auto"/>
        <w:tabs>
          <w:tab w:leader="none" w:pos="49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amounts of current portion of long-term debt and long-term debt instruments are reported net of discounts and debt issuance costs. The estimated fair values of these instruments are based upon quoted prices for the Term Loan and the Secured Notes in inactive markets as provided by an independent fixed income security pricing service.</w:t>
      </w:r>
    </w:p>
    <w:p>
      <w:pPr>
        <w:spacing w:after="0" w:line="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approximates carrying value.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Information</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decision-maker, the Chairman and Chief Executive Officer of Sotera Health Company (“CODM”), evaluates performance and allocates resources based on net revenues and segment income after the elimination of intercompany activities. The CODM uses these performance measures to inform decisions about the operations of the business and dedication of resources to selling and general administrative matters pertinent to the Company. The accounting policies of our reportable segments are the same as those described in Note 1, “Significant Accounting Policies,” of the Company’s annual consolidated financial statements and accompanying notes in our 2024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Sterigenics</w:t>
      </w:r>
    </w:p>
    <w:p>
      <w:pPr>
        <w:spacing w:after="0" w:line="119"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Sterigenics provides outsourced terminal sterilization and irradiation services for the medical device, pharmaceutical, food safety and advanced applications markets using three major technologies: gamma irradiation, EO processing and E-beam irradiation.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Nordion</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Nelson Labs</w:t>
      </w:r>
    </w:p>
    <w:p>
      <w:pPr>
        <w:spacing w:after="0" w:line="11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Nelson Labs provides outsourced microbiological and analytical chemistry testing and advisory services for the medical device and pharmaceutical industries.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Revenue Concentrations</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2025, three customers reported within the Nordion segment individually represented 10% or more of the segment’s total net revenues. These customers represented 33.3%, 16.4% and 13.1% of the total segment’s external net revenues for the three months ended June 30, 2025. For the three months ended June 30, 2024, three customers reported within the Nordion segment individually represented 10% or more of the segment’s total net revenues. These customers represented 20.6%, 17.0%, and 10.5% of the total segment’s external net revenues for the three months ended June 30, 2024.</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2025, four customers reported within the Nordion segment individually represented 10% or more of the segment’s total net revenues. These customers represented 18.9%, 16.4%, 15.9% and 11.2% of the total segment’s external net revenues for the six months ended June 30, 2025. For the six months ended June 30, 2024, four customers reported within the Nordion segment individually represented 10% or more of the segment’s total net revenues. These customers represented 20.0%, 12.8%, 12.4% and 10.0% of the total segment's external net revenues for the six months ended June 30, 2024.</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each of our segments is presented in the following table: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u w:val="single" w:color="auto"/>
          <w:color w:val="auto"/>
        </w:rPr>
        <w:t>(thousands of U.S. dollars)</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3"/>
          <w:szCs w:val="23"/>
          <w:color w:val="auto"/>
          <w:vertAlign w:val="superscript"/>
        </w:rPr>
        <w:t>(a)</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Segment expenses</w:t>
      </w:r>
      <w:r>
        <w:rPr>
          <w:rFonts w:ascii="Times New Roman" w:cs="Times New Roman" w:eastAsia="Times New Roman" w:hAnsi="Times New Roman"/>
          <w:sz w:val="23"/>
          <w:szCs w:val="23"/>
          <w:color w:val="auto"/>
          <w:vertAlign w:val="superscript"/>
        </w:rPr>
        <w:t>(b)</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Corporate expense allocation</w:t>
      </w:r>
      <w:r>
        <w:rPr>
          <w:rFonts w:ascii="Times New Roman" w:cs="Times New Roman" w:eastAsia="Times New Roman" w:hAnsi="Times New Roman"/>
          <w:sz w:val="22"/>
          <w:szCs w:val="22"/>
          <w:color w:val="auto"/>
          <w:vertAlign w:val="superscript"/>
        </w:rPr>
        <w:t>(c)</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Segment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u w:val="single" w:color="auto"/>
          <w:color w:val="auto"/>
        </w:rPr>
        <w:t>(thousands of U.S. dollars)</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3"/>
          <w:szCs w:val="23"/>
          <w:color w:val="auto"/>
          <w:vertAlign w:val="superscript"/>
        </w:rPr>
        <w:t>(a)</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Segment expenses</w:t>
      </w:r>
      <w:r>
        <w:rPr>
          <w:rFonts w:ascii="Times New Roman" w:cs="Times New Roman" w:eastAsia="Times New Roman" w:hAnsi="Times New Roman"/>
          <w:sz w:val="23"/>
          <w:szCs w:val="23"/>
          <w:color w:val="auto"/>
          <w:vertAlign w:val="superscript"/>
        </w:rPr>
        <w:t>(b)</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Corporate expense allocation</w:t>
      </w:r>
      <w:r>
        <w:rPr>
          <w:rFonts w:ascii="Times New Roman" w:cs="Times New Roman" w:eastAsia="Times New Roman" w:hAnsi="Times New Roman"/>
          <w:sz w:val="22"/>
          <w:szCs w:val="22"/>
          <w:color w:val="auto"/>
          <w:vertAlign w:val="superscript"/>
        </w:rPr>
        <w:t>(c)</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Segment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u w:val="single" w:color="auto"/>
          <w:color w:val="auto"/>
        </w:rPr>
        <w:t>(thousands of U.S. dollars)</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3"/>
          <w:szCs w:val="23"/>
          <w:color w:val="auto"/>
          <w:vertAlign w:val="superscript"/>
        </w:rPr>
        <w:t>(a)</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Segment expenses</w:t>
      </w:r>
      <w:r>
        <w:rPr>
          <w:rFonts w:ascii="Times New Roman" w:cs="Times New Roman" w:eastAsia="Times New Roman" w:hAnsi="Times New Roman"/>
          <w:sz w:val="23"/>
          <w:szCs w:val="23"/>
          <w:color w:val="auto"/>
          <w:vertAlign w:val="superscript"/>
        </w:rPr>
        <w:t>(b)</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Corporate expense allocation</w:t>
      </w:r>
      <w:r>
        <w:rPr>
          <w:rFonts w:ascii="Times New Roman" w:cs="Times New Roman" w:eastAsia="Times New Roman" w:hAnsi="Times New Roman"/>
          <w:sz w:val="22"/>
          <w:szCs w:val="22"/>
          <w:color w:val="auto"/>
          <w:vertAlign w:val="superscript"/>
        </w:rPr>
        <w:t>(c)</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Segment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u w:val="single" w:color="auto"/>
          <w:color w:val="auto"/>
        </w:rPr>
        <w:t>(thousands of U.S. dollars)</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3"/>
          <w:szCs w:val="23"/>
          <w:color w:val="auto"/>
          <w:vertAlign w:val="superscript"/>
        </w:rPr>
        <w:t>(a)</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Segment expenses</w:t>
      </w:r>
      <w:r>
        <w:rPr>
          <w:rFonts w:ascii="Times New Roman" w:cs="Times New Roman" w:eastAsia="Times New Roman" w:hAnsi="Times New Roman"/>
          <w:sz w:val="23"/>
          <w:szCs w:val="23"/>
          <w:color w:val="auto"/>
          <w:vertAlign w:val="superscript"/>
        </w:rPr>
        <w:t>(b)</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Corporate expense allocation</w:t>
      </w:r>
      <w:r>
        <w:rPr>
          <w:rFonts w:ascii="Times New Roman" w:cs="Times New Roman" w:eastAsia="Times New Roman" w:hAnsi="Times New Roman"/>
          <w:sz w:val="22"/>
          <w:szCs w:val="22"/>
          <w:color w:val="auto"/>
          <w:vertAlign w:val="superscript"/>
        </w:rPr>
        <w:t>(c)</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Segment income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45688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Sterigenics</w:t>
            </w:r>
          </w:p>
        </w:tc>
        <w:tc>
          <w:tcPr>
            <w:tcW w:w="440" w:type="dxa"/>
            <w:vAlign w:val="bottom"/>
          </w:tcPr>
          <w:p>
            <w:pPr>
              <w:spacing w:after="0"/>
              <w:rPr>
                <w:sz w:val="20"/>
                <w:szCs w:val="20"/>
                <w:color w:val="auto"/>
              </w:rPr>
            </w:pPr>
          </w:p>
        </w:tc>
        <w:tc>
          <w:tcPr>
            <w:tcW w:w="15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Nordion</w:t>
            </w:r>
          </w:p>
        </w:tc>
        <w:tc>
          <w:tcPr>
            <w:tcW w:w="32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Nelson Labs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194,839</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42,431</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57,071</w:t>
            </w:r>
          </w:p>
        </w:tc>
        <w:tc>
          <w:tcPr>
            <w:tcW w:w="1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294,341</w:t>
            </w:r>
          </w:p>
        </w:tc>
      </w:tr>
      <w:tr>
        <w:trPr>
          <w:trHeight w:val="270"/>
        </w:trPr>
        <w:tc>
          <w:tcPr>
            <w:tcW w:w="2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76,973</w:t>
            </w:r>
          </w:p>
        </w:tc>
        <w:tc>
          <w:tcPr>
            <w:tcW w:w="4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17,417</w:t>
            </w: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36,049</w:t>
            </w: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130,439</w:t>
            </w:r>
          </w:p>
        </w:tc>
      </w:tr>
      <w:tr>
        <w:trPr>
          <w:trHeight w:val="270"/>
        </w:trPr>
        <w:tc>
          <w:tcPr>
            <w:tcW w:w="2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10,121</w:t>
            </w:r>
          </w:p>
        </w:tc>
        <w:tc>
          <w:tcPr>
            <w:tcW w:w="4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1,537</w:t>
            </w: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13,167</w:t>
            </w:r>
          </w:p>
        </w:tc>
      </w:tr>
      <w:tr>
        <w:trPr>
          <w:trHeight w:val="27"/>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107,745</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23,477</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19,513</w:t>
            </w:r>
          </w:p>
        </w:tc>
        <w:tc>
          <w:tcPr>
            <w:tcW w:w="1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150,735</w:t>
            </w:r>
          </w:p>
        </w:tc>
      </w:tr>
      <w:tr>
        <w:trPr>
          <w:trHeight w:val="27"/>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-736600</wp:posOffset>
            </wp:positionV>
            <wp:extent cx="713232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-385445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45688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Sterigenics</w:t>
            </w:r>
          </w:p>
        </w:tc>
        <w:tc>
          <w:tcPr>
            <w:tcW w:w="440" w:type="dxa"/>
            <w:vAlign w:val="bottom"/>
          </w:tcPr>
          <w:p>
            <w:pPr>
              <w:spacing w:after="0"/>
              <w:rPr>
                <w:sz w:val="20"/>
                <w:szCs w:val="20"/>
                <w:color w:val="auto"/>
              </w:rPr>
            </w:pPr>
          </w:p>
        </w:tc>
        <w:tc>
          <w:tcPr>
            <w:tcW w:w="15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Nordion</w:t>
            </w:r>
          </w:p>
        </w:tc>
        <w:tc>
          <w:tcPr>
            <w:tcW w:w="32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Nelson Labs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364,523</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74,988</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109,353</w:t>
            </w:r>
          </w:p>
        </w:tc>
        <w:tc>
          <w:tcPr>
            <w:tcW w:w="1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548,864</w:t>
            </w:r>
          </w:p>
        </w:tc>
      </w:tr>
      <w:tr>
        <w:trPr>
          <w:trHeight w:val="270"/>
        </w:trPr>
        <w:tc>
          <w:tcPr>
            <w:tcW w:w="2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149,827</w:t>
            </w:r>
          </w:p>
        </w:tc>
        <w:tc>
          <w:tcPr>
            <w:tcW w:w="4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31,212</w:t>
            </w: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70,601</w:t>
            </w: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251,640</w:t>
            </w:r>
          </w:p>
        </w:tc>
      </w:tr>
      <w:tr>
        <w:trPr>
          <w:trHeight w:val="270"/>
        </w:trPr>
        <w:tc>
          <w:tcPr>
            <w:tcW w:w="2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18,947</w:t>
            </w:r>
          </w:p>
        </w:tc>
        <w:tc>
          <w:tcPr>
            <w:tcW w:w="4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2,877</w:t>
            </w: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24,650</w:t>
            </w:r>
          </w:p>
        </w:tc>
      </w:tr>
      <w:tr>
        <w:trPr>
          <w:trHeight w:val="27"/>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195,749</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40,899</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35,926</w:t>
            </w:r>
          </w:p>
        </w:tc>
        <w:tc>
          <w:tcPr>
            <w:tcW w:w="1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272,574</w:t>
            </w:r>
          </w:p>
        </w:tc>
      </w:tr>
      <w:tr>
        <w:trPr>
          <w:trHeight w:val="27"/>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-736600</wp:posOffset>
            </wp:positionV>
            <wp:extent cx="713232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-385445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45688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Sterigenics</w:t>
            </w:r>
          </w:p>
        </w:tc>
        <w:tc>
          <w:tcPr>
            <w:tcW w:w="440" w:type="dxa"/>
            <w:vAlign w:val="bottom"/>
          </w:tcPr>
          <w:p>
            <w:pPr>
              <w:spacing w:after="0"/>
              <w:rPr>
                <w:sz w:val="20"/>
                <w:szCs w:val="20"/>
                <w:color w:val="auto"/>
              </w:rPr>
            </w:pPr>
          </w:p>
        </w:tc>
        <w:tc>
          <w:tcPr>
            <w:tcW w:w="15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Nordion</w:t>
            </w:r>
          </w:p>
        </w:tc>
        <w:tc>
          <w:tcPr>
            <w:tcW w:w="32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Nelson Labs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176,354</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41,244</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58,996</w:t>
            </w:r>
          </w:p>
        </w:tc>
        <w:tc>
          <w:tcPr>
            <w:tcW w:w="1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276,594</w:t>
            </w:r>
          </w:p>
        </w:tc>
      </w:tr>
      <w:tr>
        <w:trPr>
          <w:trHeight w:val="270"/>
        </w:trPr>
        <w:tc>
          <w:tcPr>
            <w:tcW w:w="2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70,902</w:t>
            </w:r>
          </w:p>
        </w:tc>
        <w:tc>
          <w:tcPr>
            <w:tcW w:w="4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16,536</w:t>
            </w: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40,580</w:t>
            </w: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128,018</w:t>
            </w:r>
          </w:p>
        </w:tc>
      </w:tr>
      <w:tr>
        <w:trPr>
          <w:trHeight w:val="270"/>
        </w:trPr>
        <w:tc>
          <w:tcPr>
            <w:tcW w:w="2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8,674</w:t>
            </w:r>
          </w:p>
        </w:tc>
        <w:tc>
          <w:tcPr>
            <w:tcW w:w="4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1,288</w:t>
            </w: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11,241</w:t>
            </w:r>
          </w:p>
        </w:tc>
      </w:tr>
      <w:tr>
        <w:trPr>
          <w:trHeight w:val="27"/>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96,778</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23,420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17,137</w:t>
            </w:r>
          </w:p>
        </w:tc>
        <w:tc>
          <w:tcPr>
            <w:tcW w:w="1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137,335</w:t>
            </w:r>
          </w:p>
        </w:tc>
      </w:tr>
      <w:tr>
        <w:trPr>
          <w:trHeight w:val="27"/>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-736600</wp:posOffset>
            </wp:positionV>
            <wp:extent cx="713232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-385445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45688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Sterigenics</w:t>
            </w:r>
          </w:p>
        </w:tc>
        <w:tc>
          <w:tcPr>
            <w:tcW w:w="440" w:type="dxa"/>
            <w:vAlign w:val="bottom"/>
          </w:tcPr>
          <w:p>
            <w:pPr>
              <w:spacing w:after="0"/>
              <w:rPr>
                <w:sz w:val="20"/>
                <w:szCs w:val="20"/>
                <w:color w:val="auto"/>
              </w:rPr>
            </w:pPr>
          </w:p>
        </w:tc>
        <w:tc>
          <w:tcPr>
            <w:tcW w:w="15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Nordion</w:t>
            </w:r>
          </w:p>
        </w:tc>
        <w:tc>
          <w:tcPr>
            <w:tcW w:w="32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Nelson Labs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342,851</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65,251</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116,668</w:t>
            </w:r>
          </w:p>
        </w:tc>
        <w:tc>
          <w:tcPr>
            <w:tcW w:w="1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524,770</w:t>
            </w:r>
          </w:p>
        </w:tc>
      </w:tr>
      <w:tr>
        <w:trPr>
          <w:trHeight w:val="270"/>
        </w:trPr>
        <w:tc>
          <w:tcPr>
            <w:tcW w:w="2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143,126</w:t>
            </w:r>
          </w:p>
        </w:tc>
        <w:tc>
          <w:tcPr>
            <w:tcW w:w="4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28,502</w:t>
            </w: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81,664</w:t>
            </w: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253,292</w:t>
            </w:r>
          </w:p>
        </w:tc>
      </w:tr>
      <w:tr>
        <w:trPr>
          <w:trHeight w:val="270"/>
        </w:trPr>
        <w:tc>
          <w:tcPr>
            <w:tcW w:w="2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17,129</w:t>
            </w:r>
          </w:p>
        </w:tc>
        <w:tc>
          <w:tcPr>
            <w:tcW w:w="4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2,544</w:t>
            </w: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22,199</w:t>
            </w:r>
          </w:p>
        </w:tc>
      </w:tr>
      <w:tr>
        <w:trPr>
          <w:trHeight w:val="27"/>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182,596</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34,205</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32,478</w:t>
            </w:r>
          </w:p>
        </w:tc>
        <w:tc>
          <w:tcPr>
            <w:tcW w:w="1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249,279</w:t>
            </w:r>
          </w:p>
        </w:tc>
      </w:tr>
      <w:tr>
        <w:trPr>
          <w:trHeight w:val="27"/>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-736600</wp:posOffset>
            </wp:positionV>
            <wp:extent cx="713232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-384810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320" w:space="720"/>
            <w:col w:w="7200"/>
          </w:cols>
          <w:pgMar w:left="320" w:top="130" w:right="339" w:bottom="1440" w:gutter="0" w:footer="0" w:header="0"/>
          <w:type w:val="continuous"/>
        </w:sectPr>
      </w:pPr>
    </w:p>
    <w:p>
      <w:pPr>
        <w:ind w:left="500" w:right="100" w:hanging="492"/>
        <w:spacing w:after="0" w:line="255" w:lineRule="auto"/>
        <w:tabs>
          <w:tab w:leader="none" w:pos="49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are reported net of intersegment sales. Our Nordion segment recognized $10.5 million and $17.9 million in revenues from sales to our Sterigenics segment for the three months ended June 30, 2025 and 2024, respectively, and $20.3 million and $27.9 million in revenues from sales to our Sterigenics segment for the six months ended June 30, 2025 and 2024, respectively, that is not reflected in net revenues in the table above. Intersegment sales for Sterigenics and Nelson Labs are immaterial for both periods presented.</w:t>
      </w:r>
    </w:p>
    <w:p>
      <w:pPr>
        <w:spacing w:after="0" w:line="2" w:lineRule="exact"/>
        <w:rPr>
          <w:rFonts w:ascii="Times New Roman" w:cs="Times New Roman" w:eastAsia="Times New Roman" w:hAnsi="Times New Roman"/>
          <w:sz w:val="18"/>
          <w:szCs w:val="18"/>
          <w:color w:val="auto"/>
        </w:rPr>
      </w:pPr>
    </w:p>
    <w:p>
      <w:pPr>
        <w:ind w:left="500" w:right="100" w:hanging="492"/>
        <w:spacing w:after="0" w:line="250" w:lineRule="auto"/>
        <w:tabs>
          <w:tab w:leader="none" w:pos="4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expenses are comprised of direct materials, labor, utilities, other costs of revenues, selling, general and administrative (“SG&amp;A”) expenses and other expenses (income) attributable to each segment.</w:t>
      </w:r>
    </w:p>
    <w:p>
      <w:pPr>
        <w:ind w:left="500" w:right="100" w:hanging="492"/>
        <w:spacing w:after="0" w:line="260" w:lineRule="auto"/>
        <w:tabs>
          <w:tab w:leader="none" w:pos="49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expenses that are directly incurred by a segment are reflected in each segment’s income. The remaining Corporate expenses for executive management, accounting, information technology, legal, human resources, treasury,</w:t>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right="100"/>
        <w:spacing w:after="0" w:line="282" w:lineRule="auto"/>
        <w:rPr>
          <w:sz w:val="20"/>
          <w:szCs w:val="20"/>
          <w:color w:val="auto"/>
        </w:rPr>
      </w:pPr>
      <w:r>
        <w:rPr>
          <w:rFonts w:ascii="Times New Roman" w:cs="Times New Roman" w:eastAsia="Times New Roman" w:hAnsi="Times New Roman"/>
          <w:sz w:val="18"/>
          <w:szCs w:val="18"/>
          <w:color w:val="auto"/>
        </w:rPr>
        <w:t>investor relations, corporate development, tax, purchasing, and marketing not directly incurred by a segment are allocated to the segments primarily based on total net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by segment for the six months ended June 30, 2025 and 2024 were as follows:</w:t>
      </w:r>
    </w:p>
    <w:p>
      <w:pPr>
        <w:spacing w:after="0" w:line="174"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30480</wp:posOffset>
            </wp:positionV>
            <wp:extent cx="24517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40" w:type="dxa"/>
            <w:vAlign w:val="bottom"/>
          </w:tcPr>
          <w:p>
            <w:pPr>
              <w:spacing w:after="0"/>
              <w:rPr>
                <w:sz w:val="16"/>
                <w:szCs w:val="16"/>
                <w:color w:val="auto"/>
              </w:rPr>
            </w:pPr>
          </w:p>
        </w:tc>
        <w:tc>
          <w:tcPr>
            <w:tcW w:w="142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3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3"/>
        </w:trPr>
        <w:tc>
          <w:tcPr>
            <w:tcW w:w="7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Sterigenics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36,501</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53,798</w:t>
            </w:r>
          </w:p>
        </w:tc>
      </w:tr>
      <w:tr>
        <w:trPr>
          <w:trHeight w:val="243"/>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Nordion</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10,058</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19,463</w:t>
            </w:r>
          </w:p>
        </w:tc>
      </w:tr>
      <w:tr>
        <w:trPr>
          <w:trHeight w:val="27"/>
        </w:trPr>
        <w:tc>
          <w:tcPr>
            <w:tcW w:w="7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Nelson Labs</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4,588</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r>
      <w:tr>
        <w:trPr>
          <w:trHeight w:val="26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 expenditures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51,147</w:t>
            </w:r>
          </w:p>
        </w:tc>
        <w:tc>
          <w:tcPr>
            <w:tcW w:w="14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76,811</w:t>
            </w:r>
          </w:p>
        </w:tc>
      </w:tr>
      <w:tr>
        <w:trPr>
          <w:trHeight w:val="21"/>
        </w:trPr>
        <w:tc>
          <w:tcPr>
            <w:tcW w:w="7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and depreciation and amortization expense by segment are not readily available and are not reported separately to the CODM.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segment income to consolidated income before taxes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20" w:type="dxa"/>
            <w:vAlign w:val="bottom"/>
          </w:tcPr>
          <w:p>
            <w:pPr>
              <w:spacing w:after="0"/>
              <w:rPr>
                <w:sz w:val="19"/>
                <w:szCs w:val="19"/>
                <w:color w:val="auto"/>
              </w:rPr>
            </w:pPr>
          </w:p>
        </w:tc>
        <w:tc>
          <w:tcPr>
            <w:tcW w:w="2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0" w:type="dxa"/>
            <w:vAlign w:val="bottom"/>
          </w:tcPr>
          <w:p>
            <w:pPr>
              <w:spacing w:after="0"/>
              <w:rPr>
                <w:sz w:val="19"/>
                <w:szCs w:val="19"/>
                <w:color w:val="auto"/>
              </w:rPr>
            </w:pPr>
          </w:p>
        </w:tc>
        <w:tc>
          <w:tcPr>
            <w:tcW w:w="24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193"/>
        </w:trPr>
        <w:tc>
          <w:tcPr>
            <w:tcW w:w="56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6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150,735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137,335</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272,574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249,279</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 adjustments: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974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1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240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(b)</w:t>
      </w:r>
    </w:p>
    <w:p>
      <w:pPr>
        <w:spacing w:after="0" w:line="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Loss on refinancing of debt</w:t>
      </w:r>
      <w:r>
        <w:rPr>
          <w:rFonts w:ascii="Times New Roman" w:cs="Times New Roman" w:eastAsia="Times New Roman" w:hAnsi="Times New Roman"/>
          <w:sz w:val="23"/>
          <w:szCs w:val="23"/>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600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56" w:lineRule="exact"/>
        <w:rPr>
          <w:sz w:val="20"/>
          <w:szCs w:val="20"/>
          <w:color w:val="auto"/>
        </w:rPr>
      </w:pPr>
    </w:p>
    <w:p>
      <w:pPr>
        <w:ind w:left="180" w:right="240"/>
        <w:spacing w:after="0" w:line="295" w:lineRule="auto"/>
        <w:rPr>
          <w:sz w:val="20"/>
          <w:szCs w:val="20"/>
          <w:color w:val="auto"/>
        </w:rPr>
      </w:pPr>
      <w:r>
        <w:rPr>
          <w:rFonts w:ascii="Times New Roman" w:cs="Times New Roman" w:eastAsia="Times New Roman" w:hAnsi="Times New Roman"/>
          <w:sz w:val="18"/>
          <w:szCs w:val="18"/>
          <w:color w:val="auto"/>
        </w:rPr>
        <w:t>(Gain) loss on foreign currency and derivatives not designated as hedging instruments, net</w:t>
      </w:r>
      <w:r>
        <w:rPr>
          <w:rFonts w:ascii="Times New Roman" w:cs="Times New Roman" w:eastAsia="Times New Roman" w:hAnsi="Times New Roman"/>
          <w:sz w:val="23"/>
          <w:szCs w:val="23"/>
          <w:color w:val="auto"/>
          <w:vertAlign w:val="superscript"/>
        </w:rPr>
        <w:t>(d)</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Business optimization expenses</w:t>
      </w:r>
      <w:r>
        <w:rPr>
          <w:rFonts w:ascii="Times New Roman" w:cs="Times New Roman" w:eastAsia="Times New Roman" w:hAnsi="Times New Roman"/>
          <w:sz w:val="23"/>
          <w:szCs w:val="23"/>
          <w:color w:val="auto"/>
          <w:vertAlign w:val="superscript"/>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240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Professional services relating to EO sterilization facilities</w:t>
      </w:r>
      <w:r>
        <w:rPr>
          <w:rFonts w:ascii="Times New Roman" w:cs="Times New Roman" w:eastAsia="Times New Roman" w:hAnsi="Times New Roman"/>
          <w:sz w:val="23"/>
          <w:szCs w:val="23"/>
          <w:color w:val="auto"/>
          <w:vertAlign w:val="superscript"/>
        </w:rPr>
        <w:t>(f)</w:t>
      </w:r>
    </w:p>
    <w:p>
      <w:pPr>
        <w:spacing w:after="0" w:line="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Illinois EO litigation settlements</w:t>
      </w:r>
      <w:r>
        <w:rPr>
          <w:rFonts w:ascii="Times New Roman" w:cs="Times New Roman" w:eastAsia="Times New Roman" w:hAnsi="Times New Roman"/>
          <w:sz w:val="23"/>
          <w:szCs w:val="23"/>
          <w:color w:val="auto"/>
          <w:vertAlign w:val="superscript"/>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Accretion of asset retirement obligation</w:t>
      </w:r>
      <w:r>
        <w:rPr>
          <w:rFonts w:ascii="Times New Roman" w:cs="Times New Roman" w:eastAsia="Times New Roman" w:hAnsi="Times New Roman"/>
          <w:sz w:val="23"/>
          <w:szCs w:val="23"/>
          <w:color w:val="auto"/>
          <w:vertAlign w:val="superscript"/>
        </w:rPr>
        <w:t>(h)</w:t>
      </w:r>
    </w:p>
    <w:p>
      <w:pPr>
        <w:spacing w:after="0" w:line="69"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Consolidated income before taxes</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40,651</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40,388</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81,527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82,159</w:t>
            </w:r>
          </w:p>
        </w:tc>
        <w:tc>
          <w:tcPr>
            <w:tcW w:w="0" w:type="dxa"/>
            <w:vAlign w:val="bottom"/>
          </w:tcPr>
          <w:p>
            <w:pPr>
              <w:spacing w:after="0"/>
              <w:rPr>
                <w:sz w:val="1"/>
                <w:szCs w:val="1"/>
                <w:color w:val="auto"/>
              </w:rPr>
            </w:pPr>
          </w:p>
        </w:tc>
      </w:tr>
      <w:tr>
        <w:trPr>
          <w:trHeight w:val="378"/>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34,948</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39,830</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75,682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80,260</w:t>
            </w:r>
          </w:p>
        </w:tc>
        <w:tc>
          <w:tcPr>
            <w:tcW w:w="0" w:type="dxa"/>
            <w:vAlign w:val="bottom"/>
          </w:tcPr>
          <w:p>
            <w:pPr>
              <w:spacing w:after="0"/>
              <w:rPr>
                <w:sz w:val="1"/>
                <w:szCs w:val="1"/>
                <w:color w:val="auto"/>
              </w:rPr>
            </w:pPr>
          </w:p>
        </w:tc>
      </w:tr>
      <w:tr>
        <w:trPr>
          <w:trHeight w:val="378"/>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8,149</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10,206</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15,418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18,863</w:t>
            </w:r>
          </w:p>
        </w:tc>
        <w:tc>
          <w:tcPr>
            <w:tcW w:w="0" w:type="dxa"/>
            <w:vAlign w:val="bottom"/>
          </w:tcPr>
          <w:p>
            <w:pPr>
              <w:spacing w:after="0"/>
              <w:rPr>
                <w:sz w:val="1"/>
                <w:szCs w:val="1"/>
                <w:color w:val="auto"/>
              </w:rPr>
            </w:pPr>
          </w:p>
        </w:tc>
      </w:tr>
      <w:tr>
        <w:trPr>
          <w:trHeight w:val="310"/>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80</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24,090</w:t>
            </w:r>
          </w:p>
        </w:tc>
        <w:tc>
          <w:tcPr>
            <w:tcW w:w="0" w:type="dxa"/>
            <w:vAlign w:val="bottom"/>
          </w:tcPr>
          <w:p>
            <w:pPr>
              <w:spacing w:after="0"/>
              <w:rPr>
                <w:sz w:val="1"/>
                <w:szCs w:val="1"/>
                <w:color w:val="auto"/>
              </w:rPr>
            </w:pPr>
          </w:p>
        </w:tc>
      </w:tr>
      <w:tr>
        <w:trPr>
          <w:trHeight w:val="567"/>
        </w:trPr>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(3,018)</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378"/>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2,430</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0" w:type="dxa"/>
            <w:vAlign w:val="bottom"/>
          </w:tcPr>
          <w:p>
            <w:pPr>
              <w:spacing w:after="0"/>
              <w:rPr>
                <w:sz w:val="1"/>
                <w:szCs w:val="1"/>
                <w:color w:val="auto"/>
              </w:rPr>
            </w:pPr>
          </w:p>
        </w:tc>
      </w:tr>
      <w:tr>
        <w:trPr>
          <w:trHeight w:val="378"/>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14,035</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26,363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14,157</w:t>
            </w:r>
          </w:p>
        </w:tc>
        <w:tc>
          <w:tcPr>
            <w:tcW w:w="0" w:type="dxa"/>
            <w:vAlign w:val="bottom"/>
          </w:tcPr>
          <w:p>
            <w:pPr>
              <w:spacing w:after="0"/>
              <w:rPr>
                <w:sz w:val="1"/>
                <w:szCs w:val="1"/>
                <w:color w:val="auto"/>
              </w:rPr>
            </w:pPr>
          </w:p>
        </w:tc>
      </w:tr>
      <w:tr>
        <w:trPr>
          <w:trHeight w:val="310"/>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34,000</w:t>
            </w:r>
          </w:p>
        </w:tc>
        <w:tc>
          <w:tcPr>
            <w:tcW w:w="4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64,943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563</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7"/>
        </w:trPr>
        <w:tc>
          <w:tcPr>
            <w:tcW w:w="6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18,897</w:t>
            </w: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15,142</w:t>
            </w:r>
          </w:p>
        </w:tc>
        <w:tc>
          <w:tcPr>
            <w:tcW w:w="16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4,074</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26,156</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wp:posOffset>
            </wp:positionH>
            <wp:positionV relativeFrom="paragraph">
              <wp:posOffset>-33655</wp:posOffset>
            </wp:positionV>
            <wp:extent cx="8312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31215" cy="825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-7620</wp:posOffset>
            </wp:positionV>
            <wp:extent cx="8312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31215" cy="825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-213995</wp:posOffset>
            </wp:positionV>
            <wp:extent cx="8312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5740" w:space="620"/>
            <w:col w:w="4880"/>
          </w:cols>
          <w:pgMar w:left="320" w:top="130" w:right="339" w:bottom="1440" w:gutter="0" w:footer="0" w:header="0"/>
          <w:type w:val="continuous"/>
        </w:sectPr>
      </w:pPr>
    </w:p>
    <w:p>
      <w:pPr>
        <w:ind w:left="500" w:right="420" w:hanging="492"/>
        <w:spacing w:after="0" w:line="261" w:lineRule="auto"/>
        <w:tabs>
          <w:tab w:leader="none" w:pos="49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of Co-60 held at gamma irradiation sites. The three and six months ended June 30, 2025 exclude accelerated depreciation associated with business optimization activities.</w:t>
      </w:r>
    </w:p>
    <w:p>
      <w:pPr>
        <w:ind w:left="480" w:hanging="472"/>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related to employees and Non-Employee Directors.</w:t>
      </w:r>
    </w:p>
    <w:p>
      <w:pPr>
        <w:spacing w:after="0" w:line="9" w:lineRule="exact"/>
        <w:rPr>
          <w:rFonts w:ascii="Times New Roman" w:cs="Times New Roman" w:eastAsia="Times New Roman" w:hAnsi="Times New Roman"/>
          <w:sz w:val="18"/>
          <w:szCs w:val="18"/>
          <w:color w:val="auto"/>
        </w:rPr>
      </w:pPr>
    </w:p>
    <w:p>
      <w:pPr>
        <w:ind w:left="500" w:right="320" w:hanging="492"/>
        <w:spacing w:after="0" w:line="250" w:lineRule="auto"/>
        <w:tabs>
          <w:tab w:leader="none" w:pos="49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write-off of unamortized debt issuance costs and discounts, as well as certain other costs incurred related to the Refinancing Term Loans, the Secured Notes and the Revolving Credit Facility.</w:t>
      </w:r>
    </w:p>
    <w:p>
      <w:pPr>
        <w:ind w:left="500" w:right="120" w:hanging="492"/>
        <w:spacing w:after="0" w:line="250" w:lineRule="auto"/>
        <w:tabs>
          <w:tab w:leader="none" w:pos="4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effects of (i) fluctuations in foreign currency exchange rates and (ii) non-cash mark-to-fair value of embedded derivatives relating to certain customer and supply contracts at Nordion.</w:t>
      </w:r>
    </w:p>
    <w:p>
      <w:pPr>
        <w:ind w:left="500" w:right="300" w:hanging="492"/>
        <w:spacing w:after="0" w:line="250" w:lineRule="auto"/>
        <w:tabs>
          <w:tab w:leader="none" w:pos="49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the secondary offerings and shareholder engagement.</w:t>
      </w:r>
    </w:p>
    <w:p>
      <w:pPr>
        <w:spacing w:after="0" w:line="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litigation and other professional fees associated with our EO sterilization facilities.</w:t>
      </w:r>
    </w:p>
    <w:p>
      <w:pPr>
        <w:spacing w:after="0" w:line="9" w:lineRule="exact"/>
        <w:rPr>
          <w:rFonts w:ascii="Times New Roman" w:cs="Times New Roman" w:eastAsia="Times New Roman" w:hAnsi="Times New Roman"/>
          <w:sz w:val="18"/>
          <w:szCs w:val="18"/>
          <w:color w:val="auto"/>
        </w:rPr>
      </w:pPr>
    </w:p>
    <w:p>
      <w:pPr>
        <w:ind w:left="500" w:right="20" w:hanging="492"/>
        <w:spacing w:after="0" w:line="250" w:lineRule="auto"/>
        <w:tabs>
          <w:tab w:leader="none" w:pos="4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 See Note 14, “Commitments and Contingencies.”</w:t>
      </w:r>
    </w:p>
    <w:p>
      <w:pPr>
        <w:spacing w:after="0" w:line="1" w:lineRule="exact"/>
        <w:rPr>
          <w:rFonts w:ascii="Times New Roman" w:cs="Times New Roman" w:eastAsia="Times New Roman" w:hAnsi="Times New Roman"/>
          <w:sz w:val="18"/>
          <w:szCs w:val="18"/>
          <w:color w:val="auto"/>
        </w:rPr>
      </w:pPr>
    </w:p>
    <w:p>
      <w:pPr>
        <w:ind w:left="500" w:right="200" w:hanging="492"/>
        <w:spacing w:after="0" w:line="260" w:lineRule="auto"/>
        <w:tabs>
          <w:tab w:leader="none" w:pos="4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accretion of ARO related to Co-60 gamma and EO sterilization facilities, which are based on estimated site remediation costs for any future decommissioning of these facilities and are accreted over the life of the asset.</w:t>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conjunction with our consolidated financial statements and related notes included in Part I, Item 1 of this Quarterly Report on Form 10-Q, as well as the audited consolidated financial statements and notes and Management’s Discussion and Analysis of Financial Condition and Results of Operations contained in our 2024 Form 10-K. This discussion and analysis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the section entitled Part II, Item 1A, “Risk Factors” in this Quarterly Report on Form 10-Q, as well as Part I, Item 1A, “Risk Factors” in our 2024 Form 10-K.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 leading global provider of mission-critical end-to-end sterilization solutions, lab testing and advisory services for the healthcare industry. We are driven by our mission: Safeguarding Global Health</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services are an essential aspect of our customers’ manufacturing processes and supply chains, helping to ensure sterilized medical products reach healthcare practitioners and patients. Most of these services are necessary for our customers to satisfy applicable government requirements.</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 record and is a leader in its respective market, supported and connected by our core capabilities including deep end market, regulatory, technical and logistics expertise. The combination of Sterigenics, our terminal sterilization business, and Nordion, our Co-60 supply business, makes us the only vertically integrated global gamma sterilization provider in the sterilization industry. This provides us with additional insights and allows us to better serve our customers. For financial reporting purposes, our sterilization services business is comprised of two reportable segments, Sterigenics and Nordion, and our lab services business constitutes a third reportable segment, Nelson Labs.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2025, respectively, we recorded net revenues of $294.3 million and $548.9 million, net income of $8.0 million and net loss of $5.3 million, Adjusted Net Income of $56.1 million and $95.1 million, and Adjusted EBITDA of $150.7 million and $272.6 million. Adjusted Net Income and Adjusted EBITDA are financial measures not based on any standardized methodology prescribed by U.S. Generally Accepted Accounting Principles (“GAAP”). For the definition of Adjusted Net Income and Adjusted EBITDA and the reconciliation of these non-GAAP measures from net income (loss), please see “Non-GAAP Financial Measures.”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 as compared to Three Months Ended June 30,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results of operations for the three months ended June 30, 2025 and 2024.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560" w:type="dxa"/>
            <w:vAlign w:val="bottom"/>
          </w:tcPr>
          <w:p>
            <w:pPr>
              <w:jc w:val="right"/>
              <w:ind w:right="393"/>
              <w:spacing w:after="0"/>
              <w:rPr>
                <w:sz w:val="20"/>
                <w:szCs w:val="20"/>
                <w:color w:val="auto"/>
              </w:rPr>
            </w:pPr>
            <w:r>
              <w:rPr>
                <w:rFonts w:ascii="Times New Roman" w:cs="Times New Roman" w:eastAsia="Times New Roman" w:hAnsi="Times New Roman"/>
                <w:sz w:val="14"/>
                <w:szCs w:val="14"/>
                <w:color w:val="auto"/>
              </w:rPr>
              <w:t>% Change</w:t>
            </w: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5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294,341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127,720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7,962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24"/>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r>
              <w:rPr>
                <w:rFonts w:ascii="Times New Roman" w:cs="Times New Roman" w:eastAsia="Times New Roman" w:hAnsi="Times New Roman"/>
                <w:sz w:val="9"/>
                <w:szCs w:val="9"/>
                <w:b w:val="1"/>
                <w:bCs w:val="1"/>
                <w:color w:val="auto"/>
              </w:rPr>
              <w:t>(a)</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56,062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9"/>
                <w:szCs w:val="9"/>
                <w:b w:val="1"/>
                <w:bCs w:val="1"/>
                <w:color w:val="auto"/>
              </w:rPr>
              <w:t>(a)</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150,735</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137,335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7"/>
        </w:trPr>
        <w:tc>
          <w:tcPr>
            <w:tcW w:w="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left="500" w:right="200" w:hanging="492"/>
        <w:spacing w:after="0" w:line="239" w:lineRule="auto"/>
        <w:tabs>
          <w:tab w:leader="none" w:pos="495"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the reconciliation included below in “Non-GAAP Financial Measures.”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Total Net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our revenues by type for the three months ended June 30, 2025 to the three months ended June 30, 2024.</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07"/>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revenues for the three months ended June 30,</w:t>
            </w: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58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 Change</w:t>
            </w:r>
          </w:p>
        </w:tc>
      </w:tr>
      <w:tr>
        <w:trPr>
          <w:trHeight w:val="34"/>
        </w:trPr>
        <w:tc>
          <w:tcPr>
            <w:tcW w:w="20" w:type="dxa"/>
            <w:vAlign w:val="bottom"/>
          </w:tcPr>
          <w:p>
            <w:pPr>
              <w:spacing w:after="0"/>
              <w:rPr>
                <w:sz w:val="2"/>
                <w:szCs w:val="2"/>
                <w:color w:val="auto"/>
              </w:rPr>
            </w:pPr>
          </w:p>
        </w:tc>
        <w:tc>
          <w:tcPr>
            <w:tcW w:w="3040" w:type="dxa"/>
            <w:vAlign w:val="bottom"/>
            <w:tcBorders>
              <w:top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257,244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19,488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37,097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(1,741)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2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294,341</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276,594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17,747</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Net revenues were $294.3 million in the three months ended June 30, 2025, an increase of $17.7 million, or 6.4%, as compared with the three months ended June 30, 2024. Excluding the impact of foreign currency exchange rates, net revenues in the three months ended June 30, 2025 increased approximately 6.0% compared with the three months ended June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revenues</w:t>
      </w:r>
    </w:p>
    <w:p>
      <w:pPr>
        <w:spacing w:after="0" w:line="11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Service revenues increased $19.5 million, or 8.2%, to $257.2 million in the three months ended June 30, 2025 as compared to $237.8 million in the three months ended June 30, 2024. The growth in net service revenues was driven by improvements in volume/mix in the Sterigenics and Nordion segments and core lab testing service volume/mix in the Nelson Labs segment. In addition, favorable pricing and changes in foreign currency exchange rates contributed to the increase in net service revenues. Partially offsetting these factors was a decline in expert advisory services revenue in the Nelson Labs segment.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11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Product revenues decreased $1.7 million, or 4.5%, to $37.1 million in the three months ended June 30, 2025 as compared to $38.8 million in the three months ended June 30, 2024. The decrease was driven by lower revenues from Co-60 in the Nordion segment due to the timing of reactor harvest schedules.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Cost of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our cost of revenues by type for the three months ended June 30, 2025 to the three months ended June 30, 2024.</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20"/>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Cost of revenues for the three months ended June 30,</w:t>
            </w:r>
          </w:p>
        </w:tc>
        <w:tc>
          <w:tcPr>
            <w:tcW w:w="340" w:type="dxa"/>
            <w:vAlign w:val="bottom"/>
          </w:tcPr>
          <w:p>
            <w:pPr>
              <w:spacing w:after="0"/>
              <w:rPr>
                <w:sz w:val="24"/>
                <w:szCs w:val="24"/>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58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 Change</w:t>
            </w:r>
          </w:p>
        </w:tc>
      </w:tr>
      <w:tr>
        <w:trPr>
          <w:trHeight w:val="34"/>
        </w:trPr>
        <w:tc>
          <w:tcPr>
            <w:tcW w:w="20" w:type="dxa"/>
            <w:vAlign w:val="bottom"/>
          </w:tcPr>
          <w:p>
            <w:pPr>
              <w:spacing w:after="0"/>
              <w:rPr>
                <w:sz w:val="2"/>
                <w:szCs w:val="2"/>
                <w:color w:val="auto"/>
              </w:rPr>
            </w:pPr>
          </w:p>
        </w:tc>
        <w:tc>
          <w:tcPr>
            <w:tcW w:w="3260" w:type="dxa"/>
            <w:vAlign w:val="bottom"/>
            <w:tcBorders>
              <w:top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113,293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109,136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2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127,720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123,803</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Total cost of revenues accounted for approximately 43.4% and 44.8% of our consolidated net revenues for the three months ended June 30, 2025 and 2024,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service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service revenues increased $4.2 million, or 3.8%, for the three months ended June 30, 2025 as compared to the three months ended June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attributable to incremental depreciation and unfavorable changes in foreign currency exchange rates.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revenues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Cost of product revenues decreased $0.2 million, or 1.6%, for the three months ended June 30, 2025 as compared to the three months ended June 30, 2024. The decrease was attributable to a decline in amortization of intangible assets that were fully amortized as of December 31, 2024, partially offset by an increase in the cost of direct materials.</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SG&amp;A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expenses increased $8.3 million, or 13.7%, for the three months ended June 30, 2025 as compared to the three months ended June 30, 2024. A $6.2 million increase in litigation and other professional services expense associated with EO sterilization facilities was the main driver of the increase in SG&amp;A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decreased $6.1 million to $9.3 million, or 39.7%, for the three months ended June 30, 2025 as compared to the three months ended June 30, 2024. The decline was primarily due to certain intangible assets that were fully amortized in May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Illinois EO litigation settlements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July 23, 2025, the Company agreed to resolve 129 pending and threatened EO claims in the State of Illinois. Pursuant to the terms of the July Term Sheet, which is subject to the satisfaction of several conditions, the Company agreed to pay $34.0 million to settle the claims.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Interest expense, net increased $0.3 million, or 0.7%, for the three months ended June 30, 2025 as compared to the three months ended June 30, 2024, primarily due to a decreased benefit from interest rate derivatives, partially offset by a lower interest rate on our Term Loan. The weighted average interest rate on our outstanding debt was 7.49% and 8.19% at June 30,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Refinancing of Debt</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Loss on refinancing of debt for the three months ended June 30, 2025 was $0.1 million related to Amendment No. 5 to the Revolving Credit Facility. Loss on refinancing of debt for the three months ended June 30, 2024 was $23.4 million and occurred in connection with the refinancing of our capital structure in May 2024. The refinancing activity resulted in the write off of certain unamortized debt issuance costs and discounts on the Term Loans due 2026. In addition, certain new debt issuance costs and discounts were expensed upon the issuance of the Refinancing Term Loans and Secured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Loss (Gain)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Foreign exchange loss was $0.6 million for the three months ended June 30, 2025 as compared to a gain of $0.6 million in the three months ended June 30, 2024. The change in foreign exchange loss (gain) in our Consolidated Statements of Operations and Comprehensive Income (Loss) mainly relates to short-term gains and losses on transactions denominated in currencies other than the functional currency of our operating entities. As described in Note 15, “Financial Instruments and Financial Risk”, we enter into monthly U.S. dollar-denominated foreign currency forward contracts to manage foreign currency exchange rate risk related to our international subsidiaries.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Other income, net increased $4.3 million, or 283.2%, for the three months ended June 30, 2025 as compared to the three months ended June 30, 2024, mainly arising from a $3.5 million favorable increase in the net fair value of Nordion’s embedded derivatives in the three months ended June 30, 2025 compared to the same period of the prior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Provision for income taxes increased $4.5 million to a net provision of $10.9 million for the three months ended June 30, 2025 as compared to $6.4 million in the three months ended June 30, 2024. The change was primarily attributable to higher pre-tax income for the three months ended June 30, 2025 compared to the three months ended June 30, 2024, and an increase in current year permanent tax differences.</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Provision for income taxes for the three months ended June 30, 2025 differed from the federal statutory rate primarily due to the valuation allowance attributable to the limitation on the deductibility of interest expense, the impact of the foreign rate differential and current year permanent tax differences, partially offset by a benefit for state income taxes. Income tax expense for the three months ended June 30, 2024 differed from the statutory rate primarily due to the valuation allowance attributable to the limitation on the deductibility of interest expense and the impact of the foreign rate differential, partially offset by a benefit for state income taxes.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34" w:name="page35"/>
    <w:bookmarkEnd w:id="34"/>
    <w:p>
      <w:pPr>
        <w:ind w:right="100"/>
        <w:spacing w:after="0" w:line="261" w:lineRule="auto"/>
        <w:rPr>
          <w:sz w:val="20"/>
          <w:szCs w:val="20"/>
          <w:color w:val="auto"/>
        </w:rPr>
      </w:pPr>
      <w:r>
        <w:rPr>
          <w:rFonts w:ascii="Times New Roman" w:cs="Times New Roman" w:eastAsia="Times New Roman" w:hAnsi="Times New Roman"/>
          <w:sz w:val="18"/>
          <w:szCs w:val="18"/>
          <w:color w:val="auto"/>
        </w:rPr>
        <w:t>On July 4, 2025, new U.S tax legislation was signed into law (commonly referred to as the "One Big Beautiful Bill Act" or "OBBBA"). The OBBBA makes many of the temporary tax provisions enacted in 2017 as part of the Tax Cuts and Jobs Act permanent. Additionally, the OBBBA makes changes to certain U.S. corporate tax provisions, many of which are not effective until 2026. The Company is currently evaluating the impact of the OBBBA but does not expect it to have a material impact on its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Adjusted Net Income and Adjusted EBITDA</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Net income for the three months ended June 30, 2025 was $8.0 million, as compared to net income of $8.8 million for the three months ended June 30, 2024 due to the factors described above. Adjusted Net Income was $56.1 million for the three months ended June 30, 2025, as compared to $55.2 million for the three months ended June 30, 2024, and Adjusted EBITDA was $150.7 million for the three months ended June 30, 2025, as compared to $137.3 million for the three months ended June 30, 2024. Please see “Non-GAAP Financial Measures” below for a reconciliation of Adjusted Net Income and Adjusted EBITDA to their most directly comparable financial measure calculated and presented in accordance with GAAP.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 as compared to Six Months Ended June 30,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results of operations for the six months ended June 30, 2025 and 2024.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560" w:type="dxa"/>
            <w:vAlign w:val="bottom"/>
          </w:tcPr>
          <w:p>
            <w:pPr>
              <w:jc w:val="right"/>
              <w:ind w:right="393"/>
              <w:spacing w:after="0"/>
              <w:rPr>
                <w:sz w:val="20"/>
                <w:szCs w:val="20"/>
                <w:color w:val="auto"/>
              </w:rPr>
            </w:pPr>
            <w:r>
              <w:rPr>
                <w:rFonts w:ascii="Times New Roman" w:cs="Times New Roman" w:eastAsia="Times New Roman" w:hAnsi="Times New Roman"/>
                <w:sz w:val="14"/>
                <w:szCs w:val="14"/>
                <w:color w:val="auto"/>
              </w:rPr>
              <w:t>% Change</w:t>
            </w: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5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548,864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246,811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324"/>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r>
              <w:rPr>
                <w:rFonts w:ascii="Times New Roman" w:cs="Times New Roman" w:eastAsia="Times New Roman" w:hAnsi="Times New Roman"/>
                <w:sz w:val="9"/>
                <w:szCs w:val="9"/>
                <w:b w:val="1"/>
                <w:bCs w:val="1"/>
                <w:color w:val="auto"/>
              </w:rPr>
              <w:t>(a)</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95,106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90,816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9"/>
                <w:szCs w:val="9"/>
                <w:b w:val="1"/>
                <w:bCs w:val="1"/>
                <w:color w:val="auto"/>
              </w:rPr>
              <w:t>(a)</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272,574</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249,279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23,295</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7"/>
        </w:trPr>
        <w:tc>
          <w:tcPr>
            <w:tcW w:w="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left="500" w:right="80" w:hanging="492"/>
        <w:spacing w:after="0" w:line="239" w:lineRule="auto"/>
        <w:tabs>
          <w:tab w:leader="none" w:pos="495"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(loss) income, the most directly comparable financial measure calculated and presented in accordance with GAAP, to Adjusted Net Income and Adjusted EBITDA, please see the reconciliation included below in “Non-GAAP Financial Measures.”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Net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our revenues by type for the six months ended June 30, 2025 to the six months ended June 30, 2024.</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20"/>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revenues for the six months ended June 30,</w:t>
            </w: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58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 Change</w:t>
            </w:r>
          </w:p>
        </w:tc>
      </w:tr>
      <w:tr>
        <w:trPr>
          <w:trHeight w:val="34"/>
        </w:trPr>
        <w:tc>
          <w:tcPr>
            <w:tcW w:w="20" w:type="dxa"/>
            <w:vAlign w:val="bottom"/>
          </w:tcPr>
          <w:p>
            <w:pPr>
              <w:spacing w:after="0"/>
              <w:rPr>
                <w:sz w:val="2"/>
                <w:szCs w:val="2"/>
                <w:color w:val="auto"/>
              </w:rPr>
            </w:pPr>
          </w:p>
        </w:tc>
        <w:tc>
          <w:tcPr>
            <w:tcW w:w="2900" w:type="dxa"/>
            <w:vAlign w:val="bottom"/>
            <w:tcBorders>
              <w:top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481,184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67,680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7"/>
        </w:trPr>
        <w:tc>
          <w:tcPr>
            <w:tcW w:w="2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548,864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524,770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24,094</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revenues were $548.9 million in the six months ended June 30, 2025, an increase of $24.1 million, or 4.6%, as compared with the six months ended June 30, 2024. Excluding the impact of foreign currency exchange rates, net revenues in the six months ended June 30, 2025 increased approximately 5.3% compared with the six months ended June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revenues</w:t>
      </w:r>
    </w:p>
    <w:p>
      <w:pPr>
        <w:spacing w:after="0" w:line="11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Service revenues increased $16.9 million, or 3.7%, to $481.2 million in the six months ended June 30, 2025 as compared to $464.2 million in the six months ended June 30, 2024. The growth in net service revenues was primarily driven by favorable pricing in the Sterigenics and Nelson Labs segments, favorable volume/mix in the Sterigenics and Nordion segments and improvements in volume/mix related to core lab testing services in the Nelson Labs segment. Partially offsetting these factors was a decline in expert advisory services revenue in the Nelson Labs segment coupled with an unfavorable impact from changes in foreign currency exchange rates.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11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Product revenues increased $7.1 million, or 11.8%, to $67.7 million in the six months ended June 30, 2025 as compared to $60.5 million in the six months ended June 30, 2024. The increase was driven by favorable volume/mix and pricing in the Nordion segment, partially offset by an unfavorable impact from changes in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Cost of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our cost of revenues by type for the six months ended June 30, 2025 to the six months ended June 30, 2024.</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07"/>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Cost of revenues for the six months ended June 30,</w:t>
            </w:r>
          </w:p>
        </w:tc>
        <w:tc>
          <w:tcPr>
            <w:tcW w:w="340" w:type="dxa"/>
            <w:vAlign w:val="bottom"/>
          </w:tcPr>
          <w:p>
            <w:pPr>
              <w:spacing w:after="0"/>
              <w:rPr>
                <w:sz w:val="24"/>
                <w:szCs w:val="24"/>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58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 Change</w:t>
            </w:r>
          </w:p>
        </w:tc>
      </w:tr>
      <w:tr>
        <w:trPr>
          <w:trHeight w:val="34"/>
        </w:trPr>
        <w:tc>
          <w:tcPr>
            <w:tcW w:w="20" w:type="dxa"/>
            <w:vAlign w:val="bottom"/>
          </w:tcPr>
          <w:p>
            <w:pPr>
              <w:spacing w:after="0"/>
              <w:rPr>
                <w:sz w:val="2"/>
                <w:szCs w:val="2"/>
                <w:color w:val="auto"/>
              </w:rPr>
            </w:pPr>
          </w:p>
        </w:tc>
        <w:tc>
          <w:tcPr>
            <w:tcW w:w="3120" w:type="dxa"/>
            <w:vAlign w:val="bottom"/>
            <w:tcBorders>
              <w:top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220,922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219,988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7"/>
        </w:trPr>
        <w:tc>
          <w:tcPr>
            <w:tcW w:w="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246,811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244,864</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Total cost of revenues accounted for approximately 45.0% and 46.7% of our consolidated net revenues for the six months ended June 30, 2025 and 2024,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service revenues</w:t>
      </w:r>
    </w:p>
    <w:p>
      <w:pPr>
        <w:spacing w:after="0" w:line="1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Cost of service revenues increased $0.9 million, or 0.4%, for the six months ended June 30, 2025 as compared to the six months ended June 30, 2024. The change was attributable to incremental depreciation, partially offset by a favorable impact from changes in foreign currency exchange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revenues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 of product revenues increased $1.0 million, or 4.1%, for the six months ended June 30, 2025 as compared to the six months ended June 30, 2024. The increase was primarily a result of higher volumes of Co-60 shipments, which resulted in increases in direct material and transportation costs, partially offset by a decline in amortization of intangible assets that were fully amortized as of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SG&amp;A expenses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SG&amp;A expenses increased $13.2 million, or 11.1%, for the six months ended June 30, 2025 as compared to the six months ended June 30, 2024. A $14.3 million increase in litigation and other professional services expense associated with EO sterilization facilities was the main driver of the increase in SG&amp;A expenses, partially offset by a decrease in share-based compensation expense.</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decreased $6.5 million to $24.6 million, or 20.9%, for the six months ended June 30, 2025 as compared to the three months ended June 30, 2024. The decline was primarily due to certain intangibles assets that were fully amortized in May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Illinois EO litigation settlements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July 23, 2025, the Company agreed to resolve 129 pending and threatened EO claims in the State of Illinois. Pursuant to the terms of the July Term Sheet, which is subject to the satisfaction of several conditions, the Company agreed to pay $34.0 million to settle the claims.</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April 3, 2025, the Company agreed to resolve 97 pending and threatened EO claims in the State of Illinois. Pursuant to the terms of the April Term Sheet, which is subject to the satisfaction of several conditions, the Company agreed to pay $30.9 million to settle the claims.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Interest expense, net decreased $0.6 million, or 0.8%, for the six months ended June 30, 2025 as compared to the six months ended June 30, 2024, primarily due to a decline in the variable interest rate on our Term Loan, partially offset by a lower benefit from interest rate derivatives. The weighted average interest rate on our outstanding debt was 7.49% and 8.19% at June 30,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Refinancing of Debt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Loss on refinancing of debt for the six months ended June 30, 2025 was $0.1 million related to Amendment No. 5 to the Revolving Credit Facility. Loss on refinancing of debt for the six months ended June 30, 2024 was $24.1 million and occurred in connection with the refinancing our of our capital structure in May 2024. The refinancing activity resulted in the write off of certain unamortized debt issuance costs and discounts on the Term Loans due 2026. In addition, certain new debt issuance costs and discounts were expensed upon the issuance of the Term Loan and Secured Notes due 2031.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Loss (Gain)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Foreign exchange loss was $0.9 million for the six months ended June 30, 2025 as compared to a gain $1.2 million loss in the six months ended June 30, 2024. The change in foreign exchange loss in our Consolidated Statements of Operations and Comprehensive Income (Loss) mainly relates to short-term losses (offset by short-term gains) on sales denominated in currencies other than the functional currency of our operating entities. As described in Note 15, “Financial Instruments and Financial Risk”, we enter into monthly U.S. dollar-denominated foreign currency forward contracts to manage foreign currency exchange rate risk related to our international subsidiaries.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Other income, net increased $4.8 million, or 385.7%, for the six months ended June 30, 2025 as compared to the six months ended June 30, 2024, mainly arising from a $3.8 million favorable increase in the net fair value of Nordion’s embedded derivatives in the six months ended June 30, 2025 compared to the same period of the prior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Provision for income taxes decreased $1.7 million to a net provision of $9.4 million for the six months ended June 30, 2025 as compared to $11.1 million in the six months ended June 30, 2024. The change was primarily attributable to lower pre-tax income for the six months ended June 30, 2025 compared to the six months ended June 30, 2024, partially offset by current year permanent differences.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Provision for income taxes for the six months ended June 30, 2025 differed from the federal statutory rate primarily due to the valuation allowance attributable to the limitation on the deductibility of interest expense, the impact of the foreign rate differential and current year permanent tax differences, partially offset by a benefit for state income taxes. Income tax expense for the six months ended June 30, 2024 differed from the statutory rate primarily due to the valuation allowance attributable to the limitation on the deductibility of interest expense and the impact of the foreign rate differential, partially offset by a benefit for state income taxes.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Adjusted Net Income and Adjusted EBITDA</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Net loss for the six months ended June 30, 2025 was $5.3 million, as compared to net income of $15.1 million for the six months ended June 30, 2024 due to the factors described above. Adjusted Net Income was $95.1 million for the six months ended June 30, 2025, as compared to $90.8 million for the six months ended June 30, 2024, and Adjusted EBITDA was $272.6 million for the six months ended June 30, 2025, as compared to $249.3 million for the six months ended June 30, 2024. Please see “Non-GAAP Financial Measures” below for a reconciliation of Adjusted Net Income and Adjusted EBITDA to their most directly comparable financial measure calculated and presented in accordance with GAAP.</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231F20"/>
        </w:rPr>
        <w:t>To supplement our consolidated financial statements presented in accordance with GAAP, we consider Adjusted Net Income and Adjusted EBITDA, financial measures that are not based on any standardized methodology prescribed by GAAP.</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7" w:name="page38"/>
    <w:bookmarkEnd w:id="37"/>
    <w:p>
      <w:pPr>
        <w:ind w:right="140"/>
        <w:spacing w:after="0" w:line="266" w:lineRule="auto"/>
        <w:rPr>
          <w:sz w:val="20"/>
          <w:szCs w:val="20"/>
          <w:color w:val="auto"/>
        </w:rPr>
      </w:pPr>
      <w:r>
        <w:rPr>
          <w:rFonts w:ascii="Times New Roman" w:cs="Times New Roman" w:eastAsia="Times New Roman" w:hAnsi="Times New Roman"/>
          <w:sz w:val="18"/>
          <w:szCs w:val="18"/>
          <w:color w:val="231F20"/>
        </w:rPr>
        <w:t>We define Adjusted Net Income as net income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its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w:t>
      </w:r>
    </w:p>
    <w:p>
      <w:pPr>
        <w:spacing w:after="0" w:line="1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231F20"/>
        </w:rPr>
        <w:t>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(loss), the nearest GAAP equivalent. For example, Adjusted Net Income and Adjusted EBITDA primarily exclude:</w:t>
      </w:r>
    </w:p>
    <w:p>
      <w:pPr>
        <w:spacing w:after="0" w:line="68" w:lineRule="exact"/>
        <w:rPr>
          <w:sz w:val="20"/>
          <w:szCs w:val="20"/>
          <w:color w:val="auto"/>
        </w:rPr>
      </w:pPr>
    </w:p>
    <w:p>
      <w:pPr>
        <w:ind w:left="660" w:right="40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recurring non-cash charges such as depreciation of fixed assets, although these assets may have to be replaced in the future, as well as amortization of acquired intangible assets and asset retirement obligations (“ARO”);</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of acquiring and integrating businesses, which will continue to be a part of our growth strategy;</w:t>
      </w:r>
    </w:p>
    <w:p>
      <w:pPr>
        <w:spacing w:after="0" w:line="117" w:lineRule="exact"/>
        <w:rPr>
          <w:rFonts w:ascii="Times New Roman" w:cs="Times New Roman" w:eastAsia="Times New Roman" w:hAnsi="Times New Roman"/>
          <w:sz w:val="18"/>
          <w:szCs w:val="18"/>
          <w:color w:val="231F20"/>
        </w:rPr>
      </w:pPr>
    </w:p>
    <w:p>
      <w:pPr>
        <w:ind w:left="660" w:right="14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non-cash gains or losses from fluctuations in foreign currency exchange rates and the mark-to-fair value of derivatives not designated as hedging instruments, which includes the embedded derivatives relating to certain customer and supply contracts at Nordion;</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impairment charges on long-lived assets, intangible assets and investments accounted for under the equity method;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loss on refinancing of debt incurred in connection with refinancing or early extinguishment of long-term debt;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expenses incurred in connection with the secondary offering of our common stock and other shareholder activities;</w:t>
      </w:r>
    </w:p>
    <w:p>
      <w:pPr>
        <w:spacing w:after="0" w:line="117" w:lineRule="exact"/>
        <w:rPr>
          <w:rFonts w:ascii="Times New Roman" w:cs="Times New Roman" w:eastAsia="Times New Roman" w:hAnsi="Times New Roman"/>
          <w:sz w:val="18"/>
          <w:szCs w:val="18"/>
          <w:color w:val="231F20"/>
        </w:rPr>
      </w:pPr>
    </w:p>
    <w:p>
      <w:pPr>
        <w:ind w:left="660" w:right="14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expenses and charges related to the litigation, settlement agreements, and other activities associated with our EO sterilization facilities, including those related to Willowbrook, Illinois, Atlanta, Georgia, Santa Teresa, New Mexico and Vernon, California;</w:t>
      </w:r>
    </w:p>
    <w:p>
      <w:pPr>
        <w:spacing w:after="0" w:line="53" w:lineRule="exact"/>
        <w:rPr>
          <w:rFonts w:ascii="Times New Roman" w:cs="Times New Roman" w:eastAsia="Times New Roman" w:hAnsi="Times New Roman"/>
          <w:sz w:val="18"/>
          <w:szCs w:val="18"/>
          <w:color w:val="231F20"/>
        </w:rPr>
      </w:pPr>
    </w:p>
    <w:p>
      <w:pPr>
        <w:ind w:left="660" w:right="98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the case of Adjusted EBITDA, interest expense or the cash requirements necessary to service interest or principal payments on our indebtedness; and</w:t>
      </w:r>
    </w:p>
    <w:p>
      <w:pPr>
        <w:spacing w:after="0" w:line="53" w:lineRule="exact"/>
        <w:rPr>
          <w:rFonts w:ascii="Times New Roman" w:cs="Times New Roman" w:eastAsia="Times New Roman" w:hAnsi="Times New Roman"/>
          <w:sz w:val="18"/>
          <w:szCs w:val="18"/>
          <w:color w:val="231F20"/>
        </w:rPr>
      </w:pPr>
    </w:p>
    <w:p>
      <w:pPr>
        <w:ind w:left="660" w:right="44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share-based compensation expense, which has been, and will continue to be for the foreseeable future, a significant recurring expense and an important part of our compensation strategy.</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231F20"/>
        </w:rPr>
        <w:t>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231F20"/>
        </w:rPr>
        <w:t>The following table presents a reconciliation of net income, the most directly comparable financial measure calculated and presented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GAAP to Adjusted Net Income and Adjusted EBITDA, for each of the periods indicated: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24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6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30"/>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15,077</w:t>
            </w:r>
          </w:p>
        </w:tc>
      </w:tr>
      <w:tr>
        <w:trPr>
          <w:trHeight w:val="243"/>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39,879</w:t>
            </w:r>
          </w:p>
        </w:tc>
      </w:tr>
      <w:tr>
        <w:trPr>
          <w:trHeight w:val="27"/>
        </w:trPr>
        <w:tc>
          <w:tcPr>
            <w:tcW w:w="6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51"/>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8,149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15,418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18,863</w:t>
            </w:r>
          </w:p>
        </w:tc>
      </w:tr>
      <w:tr>
        <w:trPr>
          <w:trHeight w:val="270"/>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refinancing of debt</w:t>
            </w:r>
            <w:r>
              <w:rPr>
                <w:rFonts w:ascii="Times New Roman" w:cs="Times New Roman" w:eastAsia="Times New Roman" w:hAnsi="Times New Roman"/>
                <w:sz w:val="23"/>
                <w:szCs w:val="23"/>
                <w:color w:val="auto"/>
                <w:vertAlign w:val="superscript"/>
              </w:rPr>
              <w:t>(b)</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24,090</w:t>
            </w:r>
          </w:p>
        </w:tc>
      </w:tr>
      <w:tr>
        <w:trPr>
          <w:trHeight w:val="275"/>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foreign currency and derivatives not designated as hedging</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92"/>
        </w:trPr>
        <w:tc>
          <w:tcPr>
            <w:tcW w:w="6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instruments, net</w:t>
            </w:r>
            <w:r>
              <w:rPr>
                <w:rFonts w:ascii="Times New Roman" w:cs="Times New Roman" w:eastAsia="Times New Roman" w:hAnsi="Times New Roman"/>
                <w:sz w:val="23"/>
                <w:szCs w:val="23"/>
                <w:color w:val="auto"/>
                <w:vertAlign w:val="superscript"/>
              </w:rPr>
              <w:t>(c)</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351"/>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Business optimization expenses</w:t>
            </w:r>
            <w:r>
              <w:rPr>
                <w:rFonts w:ascii="Times New Roman" w:cs="Times New Roman" w:eastAsia="Times New Roman" w:hAnsi="Times New Roman"/>
                <w:sz w:val="23"/>
                <w:szCs w:val="23"/>
                <w:color w:val="auto"/>
                <w:vertAlign w:val="superscript"/>
              </w:rPr>
              <w:t>(d)</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r>
      <w:tr>
        <w:trPr>
          <w:trHeight w:val="351"/>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relating to EO sterilization facilities</w:t>
            </w:r>
            <w:r>
              <w:rPr>
                <w:rFonts w:ascii="Times New Roman" w:cs="Times New Roman" w:eastAsia="Times New Roman" w:hAnsi="Times New Roman"/>
                <w:sz w:val="23"/>
                <w:szCs w:val="23"/>
                <w:color w:val="auto"/>
                <w:vertAlign w:val="superscript"/>
              </w:rPr>
              <w:t>(e)</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14,035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26,363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14,157</w:t>
            </w:r>
          </w:p>
        </w:tc>
      </w:tr>
      <w:tr>
        <w:trPr>
          <w:trHeight w:val="270"/>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Illinois EO litigation settlements</w:t>
            </w:r>
            <w:r>
              <w:rPr>
                <w:rFonts w:ascii="Times New Roman" w:cs="Times New Roman" w:eastAsia="Times New Roman" w:hAnsi="Times New Roman"/>
                <w:sz w:val="23"/>
                <w:szCs w:val="23"/>
                <w:color w:val="auto"/>
                <w:vertAlign w:val="superscript"/>
              </w:rPr>
              <w:t>(f)</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64,943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51"/>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of asset retirement obligations</w:t>
            </w:r>
            <w:r>
              <w:rPr>
                <w:rFonts w:ascii="Times New Roman" w:cs="Times New Roman" w:eastAsia="Times New Roman" w:hAnsi="Times New Roman"/>
                <w:sz w:val="23"/>
                <w:szCs w:val="23"/>
                <w:color w:val="auto"/>
                <w:vertAlign w:val="superscript"/>
              </w:rPr>
              <w:t>(g)</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351"/>
        </w:trPr>
        <w:tc>
          <w:tcPr>
            <w:tcW w:w="6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 benefit associated with pre-tax adjustments</w:t>
            </w:r>
            <w:r>
              <w:rPr>
                <w:rFonts w:ascii="Times New Roman" w:cs="Times New Roman" w:eastAsia="Times New Roman" w:hAnsi="Times New Roman"/>
                <w:sz w:val="23"/>
                <w:szCs w:val="23"/>
                <w:color w:val="auto"/>
                <w:vertAlign w:val="superscript"/>
              </w:rPr>
              <w:t>(h)</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(20,063)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(41,485)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(24,844)</w:t>
            </w:r>
          </w:p>
        </w:tc>
      </w:tr>
      <w:tr>
        <w:trPr>
          <w:trHeight w:val="263"/>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90,816</w:t>
            </w:r>
          </w:p>
        </w:tc>
      </w:tr>
      <w:tr>
        <w:trPr>
          <w:trHeight w:val="237"/>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81,527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82,159</w:t>
            </w:r>
          </w:p>
        </w:tc>
      </w:tr>
      <w:tr>
        <w:trPr>
          <w:trHeight w:val="27"/>
        </w:trPr>
        <w:tc>
          <w:tcPr>
            <w:tcW w:w="6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51"/>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r>
              <w:rPr>
                <w:rFonts w:ascii="Times New Roman" w:cs="Times New Roman" w:eastAsia="Times New Roman" w:hAnsi="Times New Roman"/>
                <w:sz w:val="23"/>
                <w:szCs w:val="23"/>
                <w:color w:val="auto"/>
                <w:vertAlign w:val="superscript"/>
              </w:rPr>
              <w:t>(i)</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23,024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45,084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40,381</w:t>
            </w:r>
          </w:p>
        </w:tc>
      </w:tr>
      <w:tr>
        <w:trPr>
          <w:trHeight w:val="351"/>
        </w:trPr>
        <w:tc>
          <w:tcPr>
            <w:tcW w:w="6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 provision applicable to Adjusted Net Income</w:t>
            </w:r>
            <w:r>
              <w:rPr>
                <w:rFonts w:ascii="Times New Roman" w:cs="Times New Roman" w:eastAsia="Times New Roman" w:hAnsi="Times New Roman"/>
                <w:sz w:val="23"/>
                <w:szCs w:val="23"/>
                <w:color w:val="auto"/>
                <w:vertAlign w:val="superscript"/>
              </w:rPr>
              <w:t>(j)</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30,998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50,857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35,923</w:t>
            </w:r>
          </w:p>
        </w:tc>
      </w:tr>
      <w:tr>
        <w:trPr>
          <w:trHeight w:val="288"/>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(k)</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150,735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137,335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272,574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249,279</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related to employees and Non-Employee Directors.</w:t>
      </w:r>
    </w:p>
    <w:p>
      <w:pPr>
        <w:spacing w:after="0" w:line="63" w:lineRule="exact"/>
        <w:rPr>
          <w:rFonts w:ascii="Times New Roman" w:cs="Times New Roman" w:eastAsia="Times New Roman" w:hAnsi="Times New Roman"/>
          <w:sz w:val="18"/>
          <w:szCs w:val="18"/>
          <w:color w:val="auto"/>
        </w:rPr>
      </w:pPr>
    </w:p>
    <w:p>
      <w:pPr>
        <w:ind w:left="660" w:right="400" w:hanging="652"/>
        <w:spacing w:after="0" w:line="281" w:lineRule="auto"/>
        <w:tabs>
          <w:tab w:leader="none" w:pos="40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write-off of unamortized debt issuance costs and discounts, as well as certain other costs incurred related to the Refinancing Term Loans, the Secured Notes and the Revolving Credit Facility.</w:t>
      </w:r>
    </w:p>
    <w:p>
      <w:pPr>
        <w:spacing w:after="0" w:line="1" w:lineRule="exact"/>
        <w:rPr>
          <w:rFonts w:ascii="Times New Roman" w:cs="Times New Roman" w:eastAsia="Times New Roman" w:hAnsi="Times New Roman"/>
          <w:sz w:val="18"/>
          <w:szCs w:val="18"/>
          <w:color w:val="auto"/>
        </w:rPr>
      </w:pPr>
    </w:p>
    <w:p>
      <w:pPr>
        <w:ind w:left="660" w:right="220" w:hanging="652"/>
        <w:spacing w:after="0" w:line="281" w:lineRule="auto"/>
        <w:tabs>
          <w:tab w:leader="none" w:pos="3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effects of (i) fluctuations in foreign currency exchange rates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40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the secondary offerings and shareholder engagement.</w:t>
      </w:r>
    </w:p>
    <w:p>
      <w:pPr>
        <w:spacing w:after="0" w:line="1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litigation and other professional fees associated with our EO sterilization facilities.</w:t>
      </w:r>
    </w:p>
    <w:p>
      <w:pPr>
        <w:spacing w:after="0" w:line="63" w:lineRule="exact"/>
        <w:rPr>
          <w:rFonts w:ascii="Times New Roman" w:cs="Times New Roman" w:eastAsia="Times New Roman" w:hAnsi="Times New Roman"/>
          <w:sz w:val="18"/>
          <w:szCs w:val="18"/>
          <w:color w:val="auto"/>
        </w:rPr>
      </w:pPr>
    </w:p>
    <w:p>
      <w:pPr>
        <w:ind w:left="660" w:right="100" w:hanging="652"/>
        <w:spacing w:after="0" w:line="266" w:lineRule="auto"/>
        <w:tabs>
          <w:tab w:leader="none" w:pos="37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 See Note 14, “Commitments and Contingencies.”</w:t>
      </w:r>
    </w:p>
    <w:p>
      <w:pPr>
        <w:spacing w:after="0" w:line="13" w:lineRule="exact"/>
        <w:rPr>
          <w:rFonts w:ascii="Times New Roman" w:cs="Times New Roman" w:eastAsia="Times New Roman" w:hAnsi="Times New Roman"/>
          <w:sz w:val="18"/>
          <w:szCs w:val="18"/>
          <w:color w:val="auto"/>
        </w:rPr>
      </w:pPr>
    </w:p>
    <w:p>
      <w:pPr>
        <w:ind w:left="660" w:right="20" w:hanging="652"/>
        <w:spacing w:after="0" w:line="281" w:lineRule="auto"/>
        <w:tabs>
          <w:tab w:leader="none" w:pos="40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accretion of ARO related to Co-60 gamma and EO sterilization facilities, which are based on estimated site remediation costs for any future decommissioning of these facilities and are accreted over the life of the asset.</w:t>
      </w:r>
    </w:p>
    <w:p>
      <w:pPr>
        <w:spacing w:after="0" w:line="1" w:lineRule="exact"/>
        <w:rPr>
          <w:rFonts w:ascii="Times New Roman" w:cs="Times New Roman" w:eastAsia="Times New Roman" w:hAnsi="Times New Roman"/>
          <w:sz w:val="18"/>
          <w:szCs w:val="18"/>
          <w:color w:val="auto"/>
        </w:rPr>
      </w:pPr>
    </w:p>
    <w:p>
      <w:pPr>
        <w:ind w:left="660" w:right="160" w:hanging="652"/>
        <w:spacing w:after="0" w:line="281" w:lineRule="auto"/>
        <w:tabs>
          <w:tab w:leader="none" w:pos="40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1" w:lineRule="exact"/>
        <w:rPr>
          <w:rFonts w:ascii="Times New Roman" w:cs="Times New Roman" w:eastAsia="Times New Roman" w:hAnsi="Times New Roman"/>
          <w:sz w:val="18"/>
          <w:szCs w:val="18"/>
          <w:color w:val="auto"/>
        </w:rPr>
      </w:pPr>
    </w:p>
    <w:p>
      <w:pPr>
        <w:ind w:left="660" w:right="480" w:hanging="652"/>
        <w:spacing w:after="0" w:line="281" w:lineRule="auto"/>
        <w:tabs>
          <w:tab w:leader="none" w:pos="36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Includes depreciation of Co-60 held at gamma irradiation sites. The three and six months ended June 30, 2025 excludes accelerated depreciation associated with business optimization activities.</w:t>
      </w:r>
    </w:p>
    <w:p>
      <w:pPr>
        <w:spacing w:after="0" w:line="1" w:lineRule="exact"/>
        <w:rPr>
          <w:rFonts w:ascii="Times New Roman" w:cs="Times New Roman" w:eastAsia="Times New Roman" w:hAnsi="Times New Roman"/>
          <w:sz w:val="18"/>
          <w:szCs w:val="18"/>
          <w:color w:val="auto"/>
        </w:rPr>
      </w:pPr>
    </w:p>
    <w:p>
      <w:pPr>
        <w:ind w:left="660" w:right="560" w:hanging="652"/>
        <w:spacing w:after="0" w:line="273" w:lineRule="auto"/>
        <w:tabs>
          <w:tab w:leader="none" w:pos="362"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Represents the difference between the income tax provision or benefit as determined under U.S. GAAP and the income tax provision or benefit associated with pre-tax adjustments described in footnote (h).</w:t>
      </w:r>
    </w:p>
    <w:p>
      <w:pPr>
        <w:spacing w:after="0" w:line="1" w:lineRule="exact"/>
        <w:rPr>
          <w:rFonts w:ascii="Times New Roman" w:cs="Times New Roman" w:eastAsia="Times New Roman" w:hAnsi="Times New Roman"/>
          <w:sz w:val="18"/>
          <w:szCs w:val="18"/>
          <w:color w:val="231F20"/>
        </w:rPr>
      </w:pPr>
    </w:p>
    <w:p>
      <w:pPr>
        <w:ind w:left="660" w:right="60" w:hanging="652"/>
        <w:spacing w:after="0" w:line="250" w:lineRule="auto"/>
        <w:tabs>
          <w:tab w:leader="none" w:pos="40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$24.4 million and $23.4 million of the adjustments for the three months ended June 30, 2025 and 2024, respectively, and $48.6 million and $47.2 million of the adjustments for the six months ended June 30, 2025 and 2024, respectively, are included in cost of revenues, primarily consisting of amortization of intangible assets, depreciation, and accretion of asset retirement obligations.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three reportable segments: Sterigenics, Nordion and Nelson Labs. Our chief operating decision-maker evaluates performance and allocates resources within our business based on segment income, which excludes certain items which are included in income before income taxes as determined in our Consolidated Statements of Operations and Comprehensive Income (Loss). The accounting policies for our reportable segments are the same as those for the consolidated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Sterigenics</w:t>
      </w:r>
    </w:p>
    <w:p>
      <w:pPr>
        <w:spacing w:after="0" w:line="121"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Sterigenics provides outsourced terminal sterilization and irradiation services for the medical device, pharmaceutical, food safety and advanced applications markets using three major technologies: gamma irradiation, EO processing and E-beam irradiation.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Nordion</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Nordion business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a result of the time required to meet regulatory and logistics requirements for delivery of radioactive products, combined with accommodations that we make to our customers to minimize disruptions to their operations during the installation of Co-60, Nordion sales patterns can often vary significantly from one quarter to the next. In most cases, however, timing-related impacts on our sales performance tend to be resolved within several quarters, resulting in more consistent performance over longer periods of time. In addition, sales of gamma irradiation systems occur infrequently and tend to be for larger amounts. Nordion’s results of operations are also impacted by Co-60 harvest schedules.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Nelson Labs</w:t>
      </w:r>
    </w:p>
    <w:p>
      <w:pPr>
        <w:spacing w:after="0" w:line="12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Our Nelson Labs business provides outsourced microbiological and analytical chemistry testing and advisory services for the medical device and pharmaceutical industries.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regarding our reportable segments, please refer to Note 16, “Segment Information” to our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for the Three Months Ended June 30, 2025 and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compare segment net revenue and segment income for the three months ended June 30, 2025 to the three months ended June 30, 2024: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67"/>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80" w:type="dxa"/>
            <w:vAlign w:val="bottom"/>
          </w:tcPr>
          <w:p>
            <w:pPr>
              <w:spacing w:after="0"/>
              <w:rPr>
                <w:sz w:val="23"/>
                <w:szCs w:val="23"/>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vMerge w:val="continue"/>
          </w:tcPr>
          <w:p>
            <w:pPr>
              <w:spacing w:after="0"/>
              <w:rPr>
                <w:sz w:val="23"/>
                <w:szCs w:val="23"/>
                <w:color w:val="auto"/>
              </w:rPr>
            </w:pPr>
          </w:p>
        </w:tc>
        <w:tc>
          <w:tcPr>
            <w:tcW w:w="1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5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Sterigenics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194,839</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176,354</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Nordion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42,431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41,244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Nelson Labs</w:t>
            </w:r>
          </w:p>
        </w:tc>
        <w:tc>
          <w:tcPr>
            <w:tcW w:w="380" w:type="dxa"/>
            <w:vAlign w:val="bottom"/>
          </w:tcPr>
          <w:p>
            <w:pPr>
              <w:spacing w:after="0"/>
              <w:rPr>
                <w:sz w:val="21"/>
                <w:szCs w:val="21"/>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57,071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58,996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Sterigenics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107,745</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96,778</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Nordion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23,477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23,420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Nelson Labs</w:t>
            </w:r>
          </w:p>
        </w:tc>
        <w:tc>
          <w:tcPr>
            <w:tcW w:w="380" w:type="dxa"/>
            <w:vAlign w:val="bottom"/>
          </w:tcPr>
          <w:p>
            <w:pPr>
              <w:spacing w:after="0"/>
              <w:rPr>
                <w:sz w:val="21"/>
                <w:szCs w:val="21"/>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19,513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17,137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Segment Income margin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Sterigenics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55.3 %</w:t>
            </w: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290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Nordion</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55.3 %</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56.8 %</w:t>
            </w:r>
          </w:p>
        </w:tc>
        <w:tc>
          <w:tcPr>
            <w:tcW w:w="290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Nelson Labs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34.2 %</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290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Net Revenues by Segment</w:t>
      </w:r>
    </w:p>
    <w:p>
      <w:pPr>
        <w:spacing w:after="0" w:line="1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Sterigenics net revenues were $194.8 million for the three months ended June 30, 2025, an increase of $18.5 million, or 10.5%, as compared to the three months ended June 30, 2024. The increase reflects improvements in volume and mix of 6.0% as well as favorable impacts from pricing and changes in foreign currency exchanges rates of 4.0% and 0.5%, respectively.</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Nordion net revenues were $42.4 million for the three months ended June 30, 2025, an increase of $1.2 million, or 2.9%, as compared to the three months ended June 30, 2024. The increase was attributable to favorable pricing of 2.3% and volume/mix of 1.1%, partially offset by an unfavorable impact from changes in foreign currency exchange rates of 0.5%.</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Nelson Labs net revenues were $57.1 million for the three months ended June 30, 2025, a decrease of $1.9 million, or 3.3%, as compared to the three months ended June 30, 2024. Growth in core lab testing services, favorable pricing and changes in foreign currency exchange rates were offset by a decline in expert advisory services revenue.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Income</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Sterigenics segment income was $107.7 million for the three months ended June 30, 2025, an increase of $11.0 million, or 11.3%, as compared to the three months ended June 30, 2024. The increase in segment income was primarily a result of higher volume and changes in mix as well as favorable customer pricing, partially offset by inflation.</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Nordion segment income was $23.5 million for the three months ended June 30, 2025, an increase of $0.1 million, or 0.2%, as compared to the three months ended June 30, 2024. The change in segment income was mainly attributable to higher volumes of industrial use Co-60, partially offset by higher direct material costs. Segment income margin declined primarily due to supplier mix.</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Nelson Labs segment income was $19.5 million for the three months ended June 30, 2025, an increase of $2.4 million, or 13.9%, as compared to the three months ended June 30, 2024. Segment income and segment income margin increased as a result of volume/mix improvements, lab optimization and favorable pricing.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for the Six Months Ended June 30, 2025 and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compare segment net revenue and segment income for the six months ended June 30, 2025 to the six months ended June 30, 2024: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67"/>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60" w:type="dxa"/>
            <w:vAlign w:val="bottom"/>
          </w:tcPr>
          <w:p>
            <w:pPr>
              <w:spacing w:after="0"/>
              <w:rPr>
                <w:sz w:val="23"/>
                <w:szCs w:val="23"/>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vMerge w:val="continue"/>
          </w:tcPr>
          <w:p>
            <w:pPr>
              <w:spacing w:after="0"/>
              <w:rPr>
                <w:sz w:val="23"/>
                <w:szCs w:val="23"/>
                <w:color w:val="auto"/>
              </w:rPr>
            </w:pPr>
          </w:p>
        </w:tc>
        <w:tc>
          <w:tcPr>
            <w:tcW w:w="1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5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Sterigenics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364,523</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342,851</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Nordion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74,988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65,251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Nelson Labs</w:t>
            </w:r>
          </w:p>
        </w:tc>
        <w:tc>
          <w:tcPr>
            <w:tcW w:w="360" w:type="dxa"/>
            <w:vAlign w:val="bottom"/>
          </w:tcPr>
          <w:p>
            <w:pPr>
              <w:spacing w:after="0"/>
              <w:rPr>
                <w:sz w:val="21"/>
                <w:szCs w:val="21"/>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109,353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116,668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Sterigenics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195,749</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182,596</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Nordion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40,899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34,205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Nelson Labs</w:t>
            </w:r>
          </w:p>
        </w:tc>
        <w:tc>
          <w:tcPr>
            <w:tcW w:w="360" w:type="dxa"/>
            <w:vAlign w:val="bottom"/>
          </w:tcPr>
          <w:p>
            <w:pPr>
              <w:spacing w:after="0"/>
              <w:rPr>
                <w:sz w:val="21"/>
                <w:szCs w:val="21"/>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35,926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32,478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Segment Income margin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Sterigenics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53.7 %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290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Nordion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290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Nelson Labs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32.9 %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290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 by Segment</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Sterigenics net revenues were $364.5 million for the six months ended June 30, 2025, an increase of $21.7 million, or 6.3%, as compared to the six months ended June 30, 2024. The increase was primarily attributable to favorable impacts from pricing of 4.1% and improvements in volumes and mix of 3.0%, partially offset by unfavorable changes in foreign currency exchange rates of 0.8%.</w:t>
      </w:r>
    </w:p>
    <w:p>
      <w:pPr>
        <w:sectPr>
          <w:pgSz w:w="11900" w:h="16838" w:orient="portrait"/>
          <w:cols w:equalWidth="0" w:num="1">
            <w:col w:w="11220"/>
          </w:cols>
          <w:pgMar w:left="320" w:top="1145" w:right="35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5" w:right="359" w:bottom="1440" w:gutter="0" w:footer="0" w:header="0"/>
          <w:type w:val="continuous"/>
        </w:sectPr>
      </w:pPr>
    </w:p>
    <w:bookmarkStart w:id="41" w:name="page42"/>
    <w:bookmarkEnd w:id="41"/>
    <w:p>
      <w:pPr>
        <w:ind w:right="160"/>
        <w:spacing w:after="0" w:line="266" w:lineRule="auto"/>
        <w:rPr>
          <w:sz w:val="20"/>
          <w:szCs w:val="20"/>
          <w:color w:val="auto"/>
        </w:rPr>
      </w:pPr>
      <w:r>
        <w:rPr>
          <w:rFonts w:ascii="Times New Roman" w:cs="Times New Roman" w:eastAsia="Times New Roman" w:hAnsi="Times New Roman"/>
          <w:sz w:val="18"/>
          <w:szCs w:val="18"/>
          <w:color w:val="auto"/>
        </w:rPr>
        <w:t>Nordion net revenues were $75.0 million for the six months ended June 30, 2025, an increase of $9.7 million, or 14.9%, as compared to the six months ended June 30, 2024. The increase was driven by favorable volumes and changes in mix of 15.0%, and a favorable impact from pricing of 1.8%, partially offset by an unfavorable impact from changes in foreign exchange rates of 1.9%.</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Nelson Labs net revenues were $109.4 million for the six months ended June 30, 2025, a decrease of $7.3 million, or 6.3%, as compared to the six months ended June 30, 2024. Growth in core lab testing services and favorable pricing were offset by a decline in expert advisory services revenue.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Income</w:t>
      </w:r>
    </w:p>
    <w:p>
      <w:pPr>
        <w:spacing w:after="0" w:line="254"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Sterigenics segment income was $195.7 million for the six months ended June 30, 2025, an increase of $13.2 million, or 7.2%, as compared to the six months ended June 30, 2024. The increase in segment income was driven primarily by favorable customer pricing and improvements in volume/mix, partially offset by inflation.</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Nordion segment income was $40.9 million for the six months ended June 30, 2025, an increase of $6.7 million, or 19.6%, as compared to the six months ended June 30, 2024. Higher volumes and mix of Co-60 and benefits from customer pricing were the primary drivers of the increase in segment income and segment income margin.</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Nelson Labs segment income was $35.9 million for the six months ended June 30, 2025, an increase of $3.4 million, or 10.6%, as compared to the six months ended June 30, 2024. The increase in segment income and segment income margin was primarily attributable to volume/mix improvements, lab optimization and favorable pricing.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Cash</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primary sources of liquidity for our business are cash flows from operations and borrowings under our credit facilities. As of June 30, 2025, we had $332.4 million of cash and cash equivalents. This is an increase of $55.2 million from the balance at December 31, 2024. The increase in cash and cash equivalents was attributable to $112.9 million of cash provided by operating activities, reduced by $51.1 million of cash paid for purchases of property, plant and equipment and $15.0 million of cash used in financing activities. Our foreign subsidiaries held cash of approximately $283.2 million at June 30, 2025 and $259.8 million at December 31, 2024. No material restrictions exist to accessing cash held by our foreign subsidiaries notwithstanding any potential tax consequences.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Uses of Cash</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expect that cash on hand, operating cash flows and amounts available under our credit facilities will provide sufficient working capital to operate our business, meet foreseeable liquidity requirements (inclusive of debt service on our long-term debt), make expected capital expenditures including investments in fixed assets to build and/or expand existing facilities, and meet litigation costs that we expect to continue to incur for at least the next twelve months and the foreseeable future thereafter. Our primary long-term liquidity requirements beyond the next 12 months will be to service our debt, make capital expenditures, and fund suitable business acquisitions. As of June 30, 2025, there were no outstanding borrowings on the Revolving Credit Facility. We expect any excess cash provided by operations will be allocated to fund capital expenditures, potential acquisitions, or for other general corporate purposes. Our ability to meet future working capital, capital expenditures and debt service requirements will depend on our future financial performance, which will be affected by a range of macroeconomic, competitive and business factors, including interest rate changes and changes in our industry, many of which are outside of our control. As of June 30, 2025, our interest rate derivatives limit our cash flow exposure of our variable rate borrowings under the Term Loans. Refer to Note 15, “Financial Instruments and Financial Risk”, “Derivative Instruments” for additional information about changes in interest rate risk.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capital expenditure program is a component of our long-term strategy. This program includes, among other things, investments in new and existing facilities, business expansion projects, Co-60 used by Sterigenics at its gamma irradiation facilities, cobalt development projects and information technology enhancements. During the six months ended June 30, 2025, our capital expenditures amounted to $51.1 million, compared to $76.8 million for the six months ended June 30, 2024.</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60" w:type="dxa"/>
            <w:vAlign w:val="bottom"/>
          </w:tcPr>
          <w:p>
            <w:pPr>
              <w:spacing w:after="0"/>
              <w:rPr>
                <w:sz w:val="13"/>
                <w:szCs w:val="13"/>
                <w:color w:val="auto"/>
              </w:rPr>
            </w:pPr>
          </w:p>
        </w:tc>
        <w:tc>
          <w:tcPr>
            <w:tcW w:w="224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69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186"/>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69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5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112,937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70,994</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(76,774)</w:t>
            </w:r>
          </w:p>
        </w:tc>
      </w:tr>
      <w:tr>
        <w:trPr>
          <w:trHeight w:val="243"/>
        </w:trPr>
        <w:tc>
          <w:tcPr>
            <w:tcW w:w="20" w:type="dxa"/>
            <w:vAlign w:val="bottom"/>
          </w:tcPr>
          <w:p>
            <w:pPr>
              <w:spacing w:after="0"/>
              <w:rPr>
                <w:sz w:val="21"/>
                <w:szCs w:val="21"/>
                <w:color w:val="auto"/>
              </w:rPr>
            </w:pPr>
          </w:p>
        </w:tc>
        <w:tc>
          <w:tcPr>
            <w:tcW w:w="85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(41,362)</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w:t>
            </w:r>
          </w:p>
        </w:tc>
      </w:tr>
      <w:tr>
        <w:trPr>
          <w:trHeight w:val="263"/>
        </w:trPr>
        <w:tc>
          <w:tcPr>
            <w:tcW w:w="20" w:type="dxa"/>
            <w:vAlign w:val="bottom"/>
          </w:tcPr>
          <w:p>
            <w:pPr>
              <w:spacing w:after="0"/>
              <w:rPr>
                <w:sz w:val="22"/>
                <w:szCs w:val="22"/>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 including restricted cash</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55,407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(53,896)</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Cash flows from operating activities increased $41.9 million to net cash provided of $112.9 million in the six months ended June 30, 2025 compared to $71.0 million of net cash used in operating activities for the six months ended June 30, 2024. The change in cash flows from operating activities was primarily driven by the $35.0 million payment of the Georgia EO litigation settlement in January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decreased $25.7 million to net cash used of $51.1 million in the six months ended June 30, 2025 compared to $76.8 million for the six months ended June 30, 2025. The variance was primarily driven by a decrease in cash paid for capital expenditures of $25.7 million in the six months ended June 30, 2025 compared to the six months ended June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decreased $26.3 million to net cash used of $15.0 million for the six months ended June 30, 2025 compared to $41.4 million for the six months ended June 30, 2024. The decline in cash used in financing activities was mainly attributable to a decrease in cash paid for debt issuance costs of $27.9 million due to the incremental debt issuance costs paid in connection with the Refinancing Term Loans and Secured Notes in the second quarter of 2024. In addition, in the first quarter of 2024, the Company paid $6.7 million to acquire certain facilities through the settlement of a finance lease. Partially offsetting these decreases, was an increase of $6.3 million of principal repayments on the Term Loans in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Facilities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Credit Facilities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December 13, 2019,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(as amended through Amendment No. 5 (as defined below), the “Credit Agreement”). Amendment No. 5 increased the total borrowing capacity under the Revolving Credit Facility to $600.0 million. The Senior Secured Credit Facilities also provide SHH the right at any time and under certain conditions to request incremental term loans or incremental revolving credit commitments based on a formula defined in the Senior Secured Credit Facilities.</w:t>
      </w:r>
    </w:p>
    <w:p>
      <w:pPr>
        <w:spacing w:after="0" w:line="2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April 30, 2025, the Company and SHH entered into Amendment No. 5 (“Amendment No. 5”) to the Revolving Credit Facility. Among other changes, Amendment No. 5 provides (i) for an increase in the commitments under the existing Revolving Credit Facility in an aggregate principal amount of $176.2 million, (ii) that certain lenders providing revolving credit commitments shall also provide additional commitments for the issuance of letters of credit under the Revolving Credit Facility in an aggregate principal amount of $186.3 million and (iii) for the extension of the maturity date of the Revolving Credit Facility to April 30, 2030. Amendment No. 5 does not give effect to any other material changes to the terms and conditions of the Credit Agreement, including with respect to the representations and warranties, events of default and the affirmative or negative covenants.</w:t>
      </w:r>
    </w:p>
    <w:p>
      <w:pPr>
        <w:spacing w:after="0" w:line="21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and SHH had previously entered into Amendments No. 4 and Amendment No. 3 on May 30, 2024 and March 1, 2024, respectively. See Note 8, “Long-Term Debt,” to the Financial Statements for a description of these amendments.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3" w:name="page44"/>
    <w:bookmarkEnd w:id="43"/>
    <w:p>
      <w:pPr>
        <w:ind w:right="20"/>
        <w:spacing w:after="0" w:line="266" w:lineRule="auto"/>
        <w:rPr>
          <w:sz w:val="20"/>
          <w:szCs w:val="20"/>
          <w:color w:val="auto"/>
        </w:rPr>
      </w:pPr>
      <w:r>
        <w:rPr>
          <w:rFonts w:ascii="Times New Roman" w:cs="Times New Roman" w:eastAsia="Times New Roman" w:hAnsi="Times New Roman"/>
          <w:sz w:val="18"/>
          <w:szCs w:val="18"/>
          <w:color w:val="auto"/>
        </w:rPr>
        <w:t>On May 30, 2024, SHH, the Company, certain subsidiaries of the Company, and Wilmington Trust, National Association, as trustee, paying agent, registrar, transfer agent and notes collateral agent, entered into an Indenture (the “Indenture”) governing SHH’s $750.0 million aggregate principal amount of 7.375% senior secured notes due 2031 (the “Secured Notes”) issued in May 2024.</w:t>
      </w:r>
    </w:p>
    <w:p>
      <w:pPr>
        <w:spacing w:after="0" w:line="2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Senior Secured Credit Facilities and the Indenture contain certain covenants and events of default. Additionally, all of SHH’s obligations under the Senior Secured Credit Facilities and the Indenture are unconditionally guaranteed by the Company and certain domestic restricted subsidiaries. For additional information about our Senior Secured Credit Facilities, the Indenture and the Secured Notes, including the covenants and events of default, refer to Note 8, “Long-Term Debt,” to our Financial Statements.</w:t>
      </w:r>
    </w:p>
    <w:p>
      <w:pPr>
        <w:spacing w:after="0" w:line="18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Outstanding letters of credit are collateralized by encumbrances against the Revolving Credit Facility and the collateral pledged thereunder, or by cash placed on deposit with the issuing bank. As of June 30, 2025, the Company had $14.2 million of letters of credit issued against the Revolving Credit Facility, resulting in total availability under the Revolving Credit Facility of $585.8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Interest Rate Risk Management</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interest rate derivatives to reduce the variability of cash flows in the interest payments associated with our variable rate debt due to changes in SOFR. For additional information on the derivative instruments described above, refer to Note 15, “Financial Instruments and Financial Risk”— </w:t>
      </w:r>
      <w:r>
        <w:rPr>
          <w:rFonts w:ascii="Times New Roman" w:cs="Times New Roman" w:eastAsia="Times New Roman" w:hAnsi="Times New Roman"/>
          <w:sz w:val="18"/>
          <w:szCs w:val="18"/>
          <w:i w:val="1"/>
          <w:iCs w:val="1"/>
          <w:color w:val="auto"/>
        </w:rPr>
        <w:t>“Derivative Instruments.”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and related disclosures in conformity with GAAP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w:t>
      </w:r>
    </w:p>
    <w:p>
      <w:pPr>
        <w:spacing w:after="0" w:line="183"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A comprehensive discussion of the Company’s critical accounting policies and management estimates made in connection with the preparation of the financial statements is included in Item 7 of the Company’s 2024 Form 10-K. There have been no significant changes in critical accounting policies, management estimates or accounting policies since the year ended December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a description of recent accounting pronouncements applicable to our business, see Note 2, “Recent Accounting Standards” to our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Market risks are described within “Quantitative and Qualitative Disclosures About Market Risk” in Part II, Item 7A of our 2024 Form 10-K. These market risks have not materially changed for the three and six months ended June 30,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the Company’s “disclosure controls and procedures,” (as defined in Rules 13a-15(e) and 15d-15(e) under the Exchange Act). Based upon their evaluation, the Chief Executive Officer and Chief Financial Officer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Changes in Internal Control</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143" w:right="101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arising in the ordinary course of our business, including claims relating to personal injury, property damage, workers’ compensation, employee safety, and our disclosures as a Nasdaq-listed, publicly traded company. In addition, from time to time, we receive communications from government or regulatory agencies concerning investigations or allegations of noncompliance with laws or regulations in jurisdictions in which we operate. At this time, and except as is disclosed herein,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Information regarding our legal proceedings is included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Described in Note 14 “Commitments and Contingencies” of Our Consolidated Financial Statements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Note 14, “Commitments and Contingencies” to our consolidated financial statements for the three and six months ended June 30, 2025 contained in this Quarterly Report on Form 10-Q includes information on legal proceedings that constitute material contingencies for financial reporting purposes that could have a material effect on our financial condition or results of operations. This item should be read in conjunction with Note 14 “Commitments and Contingencies” for information regarding the following legal proceedings, which information is incorporated into this item by reference:</w:t>
      </w:r>
    </w:p>
    <w:p>
      <w:pPr>
        <w:spacing w:after="0" w:line="180"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Ethylene Oxide Tort Litigation – California, Georgia, Illinois and New Mexico;</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Coverage for Environmental Liabilities;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Sotera Health Company Securities Litigation and Related Matters.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Not Described in Note 14 “Commitments and Contingencies” to Our Consolidated Financial Statements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the matters that are identified in Note 14 “Commitments and Contingencies” to our consolidated financial statements for the three and six months ended June 30, 2025 contained in this Quarterly Report on Form 10-Q, and incorporated into this item by reference, we report matters, if any, that constitute material pending legal proceedings, other than ordinary course litigation incidental to our business, to which we are or any of our subsidiaries is a party. SEC regulations require disclosure of environmental proceedings that involve a government authority and potential monetary sanctions that the Company reasonably believes will exceed a specified threshold. The Company uses a threshold of $1.0 million to determine whether the disclosure of any such proceedings is required because we believe matters under this threshold are not material to the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described under Item 1A of our 2024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10b5-1 Trading Plans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none of the Company’s directors or officers (as defined in Rule 16a-1(f) under the Exchange Act) adopted or terminated any contract, instruction or written plan for the purchase or sale of Company securities that was intended to satisfy the affirmative defense conditions of Rule 10b5-1(c) or any “non-Rule 10b5-1 trading arrangement” (as that term is defined in Regulation S-K, Item 408).</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following Exhibit Index are filed, furnished, or incorporated by reference as part of this Quarterly Report on Form 10-Q.</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220" w:type="dxa"/>
            <w:vAlign w:val="bottom"/>
            <w:tcBorders>
              <w:bottom w:val="single" w:sz="8" w:color="auto"/>
            </w:tcBorders>
          </w:tcPr>
          <w:p>
            <w:pPr>
              <w:spacing w:after="0"/>
              <w:rPr>
                <w:sz w:val="19"/>
                <w:szCs w:val="19"/>
                <w:color w:val="auto"/>
              </w:rPr>
            </w:pPr>
          </w:p>
        </w:tc>
      </w:tr>
      <w:tr>
        <w:trPr>
          <w:trHeight w:val="349"/>
        </w:trPr>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Furnished/Filed</w:t>
            </w:r>
          </w:p>
        </w:tc>
      </w:tr>
      <w:tr>
        <w:trPr>
          <w:trHeight w:val="239"/>
        </w:trPr>
        <w:tc>
          <w:tcPr>
            <w:tcW w:w="6520" w:type="dxa"/>
            <w:vAlign w:val="bottom"/>
            <w:tcBorders>
              <w:bottom w:val="single" w:sz="8" w:color="auto"/>
            </w:tcBorders>
            <w:gridSpan w:val="13"/>
          </w:tcPr>
          <w:p>
            <w:pPr>
              <w:ind w:left="40"/>
              <w:spacing w:after="0"/>
              <w:rPr>
                <w:sz w:val="20"/>
                <w:szCs w:val="20"/>
                <w:color w:val="auto"/>
              </w:rPr>
            </w:pPr>
            <w:r>
              <w:rPr>
                <w:rFonts w:ascii="Times New Roman" w:cs="Times New Roman" w:eastAsia="Times New Roman" w:hAnsi="Times New Roman"/>
                <w:sz w:val="16"/>
                <w:szCs w:val="16"/>
                <w:b w:val="1"/>
                <w:bCs w:val="1"/>
                <w:color w:val="auto"/>
              </w:rPr>
              <w:t>Exhibit No Description of Exhibits</w:t>
            </w: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r>
        <w:trPr>
          <w:trHeight w:val="203"/>
        </w:trPr>
        <w:tc>
          <w:tcPr>
            <w:tcW w:w="8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5440" w:type="dxa"/>
            <w:vAlign w:val="bottom"/>
            <w:tcBorders>
              <w:bottom w:val="single" w:sz="8" w:color="0000FF"/>
            </w:tcBorders>
            <w:gridSpan w:val="5"/>
          </w:tcPr>
          <w:p>
            <w:pPr>
              <w:spacing w:after="0" w:line="202"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Amendment No. 5 to the First Lien Credit Agreement, dated as of April 30,</w:t>
              </w:r>
            </w:hyperlink>
          </w:p>
        </w:tc>
        <w:tc>
          <w:tcPr>
            <w:tcW w:w="26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54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2025 by and among Sotera Health Company, Sotera Health Holdings, LLC,</w:t>
              </w:r>
            </w:hyperlink>
          </w:p>
        </w:tc>
        <w:tc>
          <w:tcPr>
            <w:tcW w:w="240" w:type="dxa"/>
            <w:vAlign w:val="bottom"/>
            <w:gridSpan w:val="6"/>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5700" w:type="dxa"/>
            <w:vAlign w:val="bottom"/>
            <w:gridSpan w:val="12"/>
          </w:tcPr>
          <w:p>
            <w:pPr>
              <w:spacing w:after="0" w:line="19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certain subsidiaries of Sotera Health Company, JPMorgan Chase Bank, N.A.,</w:t>
              </w:r>
            </w:hyperlink>
          </w:p>
        </w:tc>
        <w:tc>
          <w:tcPr>
            <w:tcW w:w="60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001-39729</w:t>
            </w:r>
          </w:p>
        </w:tc>
        <w:tc>
          <w:tcPr>
            <w:tcW w:w="780" w:type="dxa"/>
            <w:vAlign w:val="bottom"/>
          </w:tcPr>
          <w:p>
            <w:pPr>
              <w:jc w:val="right"/>
              <w:ind w:right="135"/>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2025-05-01</w:t>
            </w:r>
          </w:p>
        </w:tc>
        <w:tc>
          <w:tcPr>
            <w:tcW w:w="12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5560" w:type="dxa"/>
            <w:vAlign w:val="bottom"/>
            <w:tcBorders>
              <w:top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as First Lien Administrative Agent and the lenders and issuing banks party</w:t>
              </w:r>
            </w:hyperlink>
          </w:p>
        </w:tc>
        <w:tc>
          <w:tcPr>
            <w:tcW w:w="14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5380" w:type="dxa"/>
            <w:vAlign w:val="bottom"/>
            <w:tcBorders>
              <w:top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thereto</w:t>
              </w:r>
            </w:hyperlink>
          </w:p>
        </w:tc>
        <w:tc>
          <w:tcPr>
            <w:tcW w:w="320" w:type="dxa"/>
            <w:vAlign w:val="bottom"/>
            <w:gridSpan w:val="8"/>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0"/>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55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Exchange Act Rules</w:t>
            </w:r>
          </w:p>
        </w:tc>
        <w:tc>
          <w:tcPr>
            <w:tcW w:w="200" w:type="dxa"/>
            <w:vAlign w:val="bottom"/>
            <w:gridSpan w:val="4"/>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558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13a-14(a) and 15d-14(a), as adopted pursuant to Section 302 of the Sarbanes-</w:t>
            </w:r>
          </w:p>
        </w:tc>
        <w:tc>
          <w:tcPr>
            <w:tcW w:w="12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820" w:type="dxa"/>
            <w:vAlign w:val="bottom"/>
          </w:tcPr>
          <w:p>
            <w:pPr>
              <w:spacing w:after="0"/>
              <w:rPr>
                <w:sz w:val="17"/>
                <w:szCs w:val="17"/>
                <w:color w:val="auto"/>
              </w:rPr>
            </w:pPr>
          </w:p>
        </w:tc>
        <w:tc>
          <w:tcPr>
            <w:tcW w:w="5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0"/>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57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w:t>
            </w: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0"/>
        </w:trPr>
        <w:tc>
          <w:tcPr>
            <w:tcW w:w="82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558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13a-14(a) and 15d-14(a), as adopted pursuant to Section 302 of the Sarbanes-</w:t>
            </w:r>
          </w:p>
        </w:tc>
        <w:tc>
          <w:tcPr>
            <w:tcW w:w="12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820" w:type="dxa"/>
            <w:vAlign w:val="bottom"/>
          </w:tcPr>
          <w:p>
            <w:pPr>
              <w:spacing w:after="0"/>
              <w:rPr>
                <w:sz w:val="17"/>
                <w:szCs w:val="17"/>
                <w:color w:val="auto"/>
              </w:rPr>
            </w:pPr>
          </w:p>
        </w:tc>
        <w:tc>
          <w:tcPr>
            <w:tcW w:w="5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0"/>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54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Certifications of Principal Executive Officer and Principal Financial Officer</w:t>
            </w:r>
          </w:p>
        </w:tc>
        <w:tc>
          <w:tcPr>
            <w:tcW w:w="220" w:type="dxa"/>
            <w:vAlign w:val="bottom"/>
            <w:gridSpan w:val="5"/>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562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 adopted pursuant to Section 906 of the</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820" w:type="dxa"/>
            <w:vAlign w:val="bottom"/>
          </w:tcPr>
          <w:p>
            <w:pPr>
              <w:spacing w:after="0"/>
              <w:rPr>
                <w:sz w:val="17"/>
                <w:szCs w:val="17"/>
                <w:color w:val="auto"/>
              </w:rPr>
            </w:pPr>
          </w:p>
        </w:tc>
        <w:tc>
          <w:tcPr>
            <w:tcW w:w="20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3640" w:type="dxa"/>
            <w:vAlign w:val="bottom"/>
            <w:gridSpan w:val="9"/>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72"/>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5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XBRL Instance Document does not</w:t>
            </w:r>
          </w:p>
        </w:tc>
        <w:tc>
          <w:tcPr>
            <w:tcW w:w="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16"/>
        </w:trPr>
        <w:tc>
          <w:tcPr>
            <w:tcW w:w="820" w:type="dxa"/>
            <w:vAlign w:val="bottom"/>
          </w:tcPr>
          <w:p>
            <w:pPr>
              <w:spacing w:after="0"/>
              <w:rPr>
                <w:sz w:val="18"/>
                <w:szCs w:val="18"/>
                <w:color w:val="auto"/>
              </w:rPr>
            </w:pPr>
          </w:p>
        </w:tc>
        <w:tc>
          <w:tcPr>
            <w:tcW w:w="5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 embedded</w:t>
            </w: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20" w:type="dxa"/>
            <w:vAlign w:val="bottom"/>
          </w:tcPr>
          <w:p>
            <w:pPr>
              <w:spacing w:after="0"/>
              <w:rPr>
                <w:sz w:val="20"/>
                <w:szCs w:val="20"/>
                <w:color w:val="auto"/>
              </w:rPr>
            </w:pPr>
          </w:p>
        </w:tc>
        <w:tc>
          <w:tcPr>
            <w:tcW w:w="5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31" w:lineRule="exact"/>
        <w:rPr>
          <w:sz w:val="20"/>
          <w:szCs w:val="20"/>
          <w:color w:val="auto"/>
        </w:rPr>
      </w:pPr>
    </w:p>
    <w:p>
      <w:pPr>
        <w:sectPr>
          <w:pgSz w:w="11900" w:h="16838" w:orient="portrait"/>
          <w:cols w:equalWidth="0" w:num="1">
            <w:col w:w="11240"/>
          </w:cols>
          <w:pgMar w:left="320" w:top="1251" w:right="339" w:bottom="1440" w:gutter="0" w:footer="0" w:header="0"/>
        </w:sectPr>
      </w:pPr>
    </w:p>
    <w:tbl>
      <w:tblPr>
        <w:tblLayout w:type="fixed"/>
        <w:tblInd w:w="20" w:type="dxa"/>
        <w:tblCellMar>
          <w:top w:w="0" w:type="dxa"/>
          <w:left w:w="0" w:type="dxa"/>
          <w:bottom w:w="0" w:type="dxa"/>
          <w:right w:w="0" w:type="dxa"/>
        </w:tblCellMar>
      </w:tblPr>
      <w:tr>
        <w:trPr>
          <w:trHeight w:val="239"/>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270"/>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 Document</w:t>
            </w:r>
          </w:p>
        </w:tc>
      </w:tr>
    </w:tbl>
    <w:p>
      <w:pPr>
        <w:spacing w:after="0" w:line="36" w:lineRule="exact"/>
        <w:rPr>
          <w:sz w:val="20"/>
          <w:szCs w:val="20"/>
          <w:color w:val="auto"/>
        </w:rPr>
      </w:pPr>
    </w:p>
    <w:p>
      <w:pPr>
        <w:ind w:left="820" w:right="3500" w:hanging="794"/>
        <w:spacing w:after="0" w:line="199" w:lineRule="auto"/>
        <w:tabs>
          <w:tab w:leader="none" w:pos="820" w:val="left"/>
        </w:tabs>
        <w:numPr>
          <w:ilvl w:val="1"/>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45" w:lineRule="exact"/>
        <w:rPr>
          <w:rFonts w:ascii="Times New Roman" w:cs="Times New Roman" w:eastAsia="Times New Roman" w:hAnsi="Times New Roman"/>
          <w:sz w:val="29"/>
          <w:szCs w:val="29"/>
          <w:color w:val="auto"/>
          <w:vertAlign w:val="superscript"/>
        </w:rPr>
      </w:pPr>
    </w:p>
    <w:p>
      <w:pPr>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29"/>
          <w:szCs w:val="29"/>
          <w:color w:val="auto"/>
          <w:vertAlign w:val="superscript"/>
        </w:rPr>
      </w:pPr>
    </w:p>
    <w:p>
      <w:pPr>
        <w:ind w:left="360" w:hanging="352"/>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20" w:lineRule="exact"/>
        <w:rPr>
          <w:sz w:val="20"/>
          <w:szCs w:val="20"/>
          <w:color w:val="auto"/>
        </w:rPr>
      </w:pPr>
    </w:p>
    <w:p>
      <w:pPr>
        <w:sectPr>
          <w:pgSz w:w="11900" w:h="16838" w:orient="portrait"/>
          <w:cols w:equalWidth="0" w:num="2">
            <w:col w:w="9900" w:space="720"/>
            <w:col w:w="620"/>
          </w:cols>
          <w:pgMar w:left="320" w:top="1251" w:right="339" w:bottom="1440" w:gutter="0" w:footer="0" w:header="0"/>
          <w:type w:val="continuous"/>
        </w:sect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320"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Jonathan M. Lyons</w:t>
            </w:r>
          </w:p>
        </w:tc>
      </w:tr>
      <w:tr>
        <w:trPr>
          <w:trHeight w:val="27"/>
        </w:trPr>
        <w:tc>
          <w:tcPr>
            <w:tcW w:w="76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Jonathan M. Lyons</w:t>
            </w:r>
          </w:p>
        </w:tc>
      </w:tr>
      <w:tr>
        <w:trPr>
          <w:trHeight w:val="27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70"/>
        </w:trPr>
        <w:tc>
          <w:tcPr>
            <w:tcW w:w="760" w:type="dxa"/>
            <w:vAlign w:val="bottom"/>
          </w:tcPr>
          <w:p>
            <w:pPr>
              <w:spacing w:after="0"/>
              <w:rPr>
                <w:sz w:val="23"/>
                <w:szCs w:val="23"/>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25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B. Petras, Jr., certify that:</w:t>
      </w:r>
    </w:p>
    <w:p>
      <w:pPr>
        <w:spacing w:after="0" w:line="225"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Sotera Health Company;</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Date:</w:t>
        <w:tab/>
        <w:t>August 8, 2025</w:t>
      </w:r>
    </w:p>
    <w:p>
      <w:pPr>
        <w:spacing w:after="0" w:line="2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17145</wp:posOffset>
            </wp:positionV>
            <wp:extent cx="18173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Michael B. Petras, Jr.</w:t>
      </w:r>
    </w:p>
    <w:p>
      <w:pPr>
        <w:spacing w:after="0" w:line="6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6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M. Lyons, certify that:</w:t>
      </w:r>
    </w:p>
    <w:p>
      <w:pPr>
        <w:spacing w:after="0" w:line="225"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Sotera Health Company;</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Date:</w:t>
        <w:tab/>
        <w:t>August 8, 2025</w:t>
      </w:r>
    </w:p>
    <w:p>
      <w:pPr>
        <w:spacing w:after="0" w:line="2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17145</wp:posOffset>
            </wp:positionV>
            <wp:extent cx="22885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6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Senior Vice President and Chief Financial</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Officer</w:t>
      </w:r>
    </w:p>
    <w:p>
      <w:pPr>
        <w:spacing w:after="0" w:line="4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Sotera Health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 hereby certify, to each such officer’s knowledge, that the Company’s Quarterly Report on Form 10-Q for the quarter ended June 30, 2025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B. Petras, Jr.</w:t>
            </w:r>
          </w:p>
        </w:tc>
        <w:tc>
          <w:tcPr>
            <w:tcW w:w="0" w:type="dxa"/>
            <w:vAlign w:val="bottom"/>
          </w:tcPr>
          <w:p>
            <w:pPr>
              <w:spacing w:after="0"/>
              <w:rPr>
                <w:sz w:val="1"/>
                <w:szCs w:val="1"/>
                <w:color w:val="auto"/>
              </w:rPr>
            </w:pPr>
          </w:p>
        </w:tc>
      </w:tr>
      <w:tr>
        <w:trPr>
          <w:trHeight w:val="27"/>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Dated: August 8, 2025</w:t>
            </w:r>
          </w:p>
        </w:tc>
        <w:tc>
          <w:tcPr>
            <w:tcW w:w="6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680" w:type="dxa"/>
            <w:vAlign w:val="bottom"/>
            <w:vMerge w:val="continue"/>
          </w:tcPr>
          <w:p>
            <w:pPr>
              <w:spacing w:after="0"/>
              <w:rPr>
                <w:sz w:val="18"/>
                <w:szCs w:val="18"/>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B. Petras, Jr.</w:t>
            </w:r>
          </w:p>
        </w:tc>
        <w:tc>
          <w:tcPr>
            <w:tcW w:w="0" w:type="dxa"/>
            <w:vAlign w:val="bottom"/>
          </w:tcPr>
          <w:p>
            <w:pPr>
              <w:spacing w:after="0"/>
              <w:rPr>
                <w:sz w:val="1"/>
                <w:szCs w:val="1"/>
                <w:color w:val="auto"/>
              </w:rPr>
            </w:pPr>
          </w:p>
        </w:tc>
      </w:tr>
      <w:tr>
        <w:trPr>
          <w:trHeight w:val="214"/>
        </w:trPr>
        <w:tc>
          <w:tcPr>
            <w:tcW w:w="468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Chairman and Chief Executive Officer</w:t>
            </w:r>
          </w:p>
        </w:tc>
        <w:tc>
          <w:tcPr>
            <w:tcW w:w="0" w:type="dxa"/>
            <w:vAlign w:val="bottom"/>
          </w:tcPr>
          <w:p>
            <w:pPr>
              <w:spacing w:after="0"/>
              <w:rPr>
                <w:sz w:val="1"/>
                <w:szCs w:val="1"/>
                <w:color w:val="auto"/>
              </w:rPr>
            </w:pPr>
          </w:p>
        </w:tc>
      </w:tr>
      <w:tr>
        <w:trPr>
          <w:trHeight w:val="236"/>
        </w:trPr>
        <w:tc>
          <w:tcPr>
            <w:tcW w:w="468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0" w:type="dxa"/>
            <w:vAlign w:val="bottom"/>
          </w:tcPr>
          <w:p>
            <w:pPr>
              <w:spacing w:after="0"/>
              <w:rPr>
                <w:sz w:val="1"/>
                <w:szCs w:val="1"/>
                <w:color w:val="auto"/>
              </w:rPr>
            </w:pPr>
          </w:p>
        </w:tc>
      </w:tr>
      <w:tr>
        <w:trPr>
          <w:trHeight w:val="256"/>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Dated: August 8, 2025</w:t>
            </w:r>
          </w:p>
        </w:tc>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Jonathan M. Lyons</w:t>
            </w:r>
          </w:p>
        </w:tc>
        <w:tc>
          <w:tcPr>
            <w:tcW w:w="0" w:type="dxa"/>
            <w:vAlign w:val="bottom"/>
          </w:tcPr>
          <w:p>
            <w:pPr>
              <w:spacing w:after="0"/>
              <w:rPr>
                <w:sz w:val="1"/>
                <w:szCs w:val="1"/>
                <w:color w:val="auto"/>
              </w:rPr>
            </w:pPr>
          </w:p>
        </w:tc>
      </w:tr>
      <w:tr>
        <w:trPr>
          <w:trHeight w:val="205"/>
        </w:trPr>
        <w:tc>
          <w:tcPr>
            <w:tcW w:w="4680" w:type="dxa"/>
            <w:vAlign w:val="bottom"/>
            <w:vMerge w:val="continue"/>
          </w:tcPr>
          <w:p>
            <w:pPr>
              <w:spacing w:after="0"/>
              <w:rPr>
                <w:sz w:val="17"/>
                <w:szCs w:val="17"/>
                <w:color w:val="auto"/>
              </w:rPr>
            </w:pPr>
          </w:p>
        </w:tc>
        <w:tc>
          <w:tcPr>
            <w:tcW w:w="61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Jonathan M. Lyons</w:t>
            </w:r>
          </w:p>
        </w:tc>
        <w:tc>
          <w:tcPr>
            <w:tcW w:w="0" w:type="dxa"/>
            <w:vAlign w:val="bottom"/>
          </w:tcPr>
          <w:p>
            <w:pPr>
              <w:spacing w:after="0"/>
              <w:rPr>
                <w:sz w:val="1"/>
                <w:szCs w:val="1"/>
                <w:color w:val="auto"/>
              </w:rPr>
            </w:pPr>
          </w:p>
        </w:tc>
      </w:tr>
      <w:tr>
        <w:trPr>
          <w:trHeight w:val="180"/>
        </w:trPr>
        <w:tc>
          <w:tcPr>
            <w:tcW w:w="4680" w:type="dxa"/>
            <w:vAlign w:val="bottom"/>
          </w:tcPr>
          <w:p>
            <w:pPr>
              <w:spacing w:after="0"/>
              <w:rPr>
                <w:sz w:val="15"/>
                <w:szCs w:val="15"/>
                <w:color w:val="auto"/>
              </w:rPr>
            </w:pPr>
          </w:p>
        </w:tc>
        <w:tc>
          <w:tcPr>
            <w:tcW w:w="61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Title: Senior Vice President and Chief Financial Officer</w:t>
            </w:r>
          </w:p>
        </w:tc>
        <w:tc>
          <w:tcPr>
            <w:tcW w:w="0" w:type="dxa"/>
            <w:vAlign w:val="bottom"/>
          </w:tcPr>
          <w:p>
            <w:pPr>
              <w:spacing w:after="0"/>
              <w:rPr>
                <w:sz w:val="1"/>
                <w:szCs w:val="1"/>
                <w:color w:val="auto"/>
              </w:rPr>
            </w:pPr>
          </w:p>
        </w:tc>
      </w:tr>
      <w:tr>
        <w:trPr>
          <w:trHeight w:val="236"/>
        </w:trPr>
        <w:tc>
          <w:tcPr>
            <w:tcW w:w="468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foregoing certifications are furnished and are not deemed filed with the Securities and Exchange Commission for purposes of Section 18 of the Securities Exchange Act of 1934, as amended (the “Exchange Act”), and are not deemed to be incorporated by reference into any filing of Sotera Health Company under the Securities Act of 1933, as amended, or the Exchange Act, except to the extent that Sotera Health Company specifically incorporates them by reference.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2"/>
    </w:lvl>
  </w:abstractNum>
  <w:abstractNum w:abstractNumId="6">
    <w:nsid w:val="25E45D32"/>
    <w:multiLevelType w:val="hybridMultilevel"/>
    <w:lvl w:ilvl="0">
      <w:lvlJc w:val="left"/>
      <w:lvlText w:val="%1."/>
      <w:numFmt w:val="decimal"/>
      <w:start w:val="3"/>
    </w:lvl>
  </w:abstractNum>
  <w:abstractNum w:abstractNumId="7">
    <w:nsid w:val="519B500D"/>
    <w:multiLevelType w:val="hybridMultilevel"/>
    <w:lvl w:ilvl="0">
      <w:lvlJc w:val="left"/>
      <w:lvlText w:val="%1."/>
      <w:numFmt w:val="decimal"/>
      <w:start w:val="4"/>
    </w:lvl>
  </w:abstractNum>
  <w:abstractNum w:abstractNumId="8">
    <w:nsid w:val="431BD7B7"/>
    <w:multiLevelType w:val="hybridMultilevel"/>
    <w:lvl w:ilvl="0">
      <w:lvlJc w:val="left"/>
      <w:lvlText w:val="%1."/>
      <w:numFmt w:val="decimal"/>
      <w:start w:val="5"/>
    </w:lvl>
  </w:abstractNum>
  <w:abstractNum w:abstractNumId="9">
    <w:nsid w:val="3F2DBA31"/>
    <w:multiLevelType w:val="hybridMultilevel"/>
    <w:lvl w:ilvl="0">
      <w:lvlJc w:val="left"/>
      <w:lvlText w:val="(%1)"/>
      <w:numFmt w:val="lowerLetter"/>
      <w:start w:val="1"/>
    </w:lvl>
  </w:abstractNum>
  <w:abstractNum w:abstractNumId="10">
    <w:nsid w:val="7C83E458"/>
    <w:multiLevelType w:val="hybridMultilevel"/>
    <w:lvl w:ilvl="0">
      <w:lvlJc w:val="left"/>
      <w:lvlText w:val="%1."/>
      <w:numFmt w:val="decimal"/>
      <w:start w:val="9"/>
    </w:lvl>
  </w:abstractNum>
  <w:abstractNum w:abstractNumId="11">
    <w:nsid w:val="257130A3"/>
    <w:multiLevelType w:val="hybridMultilevel"/>
    <w:lvl w:ilvl="0">
      <w:lvlJc w:val="left"/>
      <w:lvlText w:val="(%1)"/>
      <w:numFmt w:val="lowerLetter"/>
      <w:start w:val="1"/>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lowerLetter"/>
      <w:start w:val="3"/>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lvl w:ilvl="1">
      <w:lvlJc w:val="left"/>
      <w:lvlText w:val="%2"/>
      <w:numFmt w:val="decimal"/>
      <w:start w:val="104"/>
    </w:lvl>
  </w:abstractNum>
  <w:abstractNum w:abstractNumId="24">
    <w:nsid w:val="B03E0C6"/>
    <w:multiLevelType w:val="hybridMultilevel"/>
    <w:lvl w:ilvl="0">
      <w:lvlJc w:val="left"/>
      <w:lvlText w:val="**"/>
      <w:numFmt w:val="bullet"/>
      <w:start w:val="1"/>
    </w:lvl>
    <w:lvl w:ilvl="1">
      <w:lvlJc w:val="left"/>
      <w:lvlText w:val="%2"/>
      <w:numFmt w:val="decimal"/>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0" Type="http://schemas.openxmlformats.org/officeDocument/2006/relationships/hyperlink" Target="https://www.sec.gov/Archives/edgar/data/1822479/000182247925000025/shc20250331_exhibitx10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2025-08-08T15:28:30Z</dcterms:created>
  <dcterms:modified xsi:type="dcterms:W3CDTF">2025-08-08T15:28:30Z</dcterms:modified>
</cp:coreProperties>
</file>